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4C50" w14:textId="29BB768A" w:rsidR="0012388D" w:rsidRDefault="00772BDC" w:rsidP="00CA5734">
      <w:pPr>
        <w:rPr>
          <w:rFonts w:cs="Arial"/>
        </w:rPr>
      </w:pPr>
      <w:r>
        <w:rPr>
          <w:rFonts w:cs="Arial"/>
          <w:noProof/>
          <w:lang w:eastAsia="en-GB" w:bidi="ar-SA"/>
        </w:rPr>
        <w:drawing>
          <wp:inline distT="0" distB="0" distL="0" distR="0" wp14:anchorId="5D436116" wp14:editId="74D8517F">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7BF5A49" w14:textId="77777777" w:rsidR="00266CCA" w:rsidRDefault="00266CCA" w:rsidP="00CA5734">
      <w:pPr>
        <w:rPr>
          <w:rFonts w:cs="Arial"/>
        </w:rPr>
      </w:pPr>
    </w:p>
    <w:p w14:paraId="3363BBDA" w14:textId="77777777" w:rsidR="00266CCA" w:rsidRPr="008E63DC" w:rsidRDefault="00266CCA" w:rsidP="00266CCA">
      <w:pPr>
        <w:rPr>
          <w:b/>
          <w:sz w:val="28"/>
          <w:szCs w:val="28"/>
        </w:rPr>
      </w:pPr>
      <w:r w:rsidRPr="008E63DC">
        <w:rPr>
          <w:b/>
          <w:sz w:val="28"/>
          <w:szCs w:val="28"/>
        </w:rPr>
        <w:t>28 September 202</w:t>
      </w:r>
      <w:r>
        <w:rPr>
          <w:b/>
          <w:sz w:val="28"/>
          <w:szCs w:val="28"/>
        </w:rPr>
        <w:t>2</w:t>
      </w:r>
    </w:p>
    <w:p w14:paraId="142A7443" w14:textId="77777777" w:rsidR="00266CCA" w:rsidRPr="008E63DC" w:rsidRDefault="00266CCA" w:rsidP="00266CCA">
      <w:pPr>
        <w:rPr>
          <w:b/>
          <w:sz w:val="28"/>
          <w:szCs w:val="28"/>
        </w:rPr>
      </w:pPr>
      <w:r w:rsidRPr="008E63DC">
        <w:rPr>
          <w:b/>
          <w:sz w:val="28"/>
          <w:szCs w:val="28"/>
        </w:rPr>
        <w:t>215-22</w:t>
      </w:r>
    </w:p>
    <w:p w14:paraId="30AB898B" w14:textId="77777777" w:rsidR="00A671E6" w:rsidRPr="00A671E6" w:rsidRDefault="00A671E6" w:rsidP="00A671E6"/>
    <w:p w14:paraId="3FC85657" w14:textId="2283095F" w:rsidR="0012388D" w:rsidRPr="004C52C2" w:rsidRDefault="00B425AA" w:rsidP="00B425AA">
      <w:pPr>
        <w:pStyle w:val="FSTitle"/>
      </w:pPr>
      <w:r w:rsidRPr="004C52C2">
        <w:t>A</w:t>
      </w:r>
      <w:r w:rsidR="00DD265C" w:rsidRPr="004C52C2">
        <w:t>pproval</w:t>
      </w:r>
      <w:r w:rsidRPr="004C52C2">
        <w:t xml:space="preserve"> </w:t>
      </w:r>
      <w:r w:rsidR="00B77C18" w:rsidRPr="004C52C2">
        <w:t>r</w:t>
      </w:r>
      <w:r w:rsidR="00DD265C" w:rsidRPr="004C52C2">
        <w:t>eport</w:t>
      </w:r>
      <w:r w:rsidRPr="004C52C2">
        <w:t xml:space="preserve"> –</w:t>
      </w:r>
      <w:r w:rsidR="00CA5734" w:rsidRPr="004C52C2">
        <w:t>P</w:t>
      </w:r>
      <w:r w:rsidR="00DD265C" w:rsidRPr="004C52C2">
        <w:t>roposal</w:t>
      </w:r>
      <w:r w:rsidR="00CA5734" w:rsidRPr="004C52C2">
        <w:t xml:space="preserve"> P</w:t>
      </w:r>
      <w:r w:rsidR="00191F1B" w:rsidRPr="004C52C2">
        <w:t>1053</w:t>
      </w:r>
    </w:p>
    <w:p w14:paraId="03A50DF8" w14:textId="77777777" w:rsidR="003A7B84" w:rsidRPr="004C52C2" w:rsidRDefault="003A7B84" w:rsidP="00A671E6"/>
    <w:p w14:paraId="6E1585B5" w14:textId="7624E55C" w:rsidR="0012388D" w:rsidRPr="004C52C2" w:rsidRDefault="00191F1B" w:rsidP="00B425AA">
      <w:pPr>
        <w:pStyle w:val="FSTitle"/>
      </w:pPr>
      <w:r w:rsidRPr="004C52C2">
        <w:t>Food Safety Management Tools</w:t>
      </w:r>
    </w:p>
    <w:p w14:paraId="4AB76DCF" w14:textId="77777777" w:rsidR="003A7B84" w:rsidRPr="00E327A6" w:rsidRDefault="003A7B84" w:rsidP="00871116">
      <w:pPr>
        <w:pBdr>
          <w:bottom w:val="single" w:sz="12" w:space="1" w:color="auto"/>
        </w:pBdr>
        <w:tabs>
          <w:tab w:val="left" w:pos="1140"/>
        </w:tabs>
        <w:rPr>
          <w:rFonts w:cs="Arial"/>
          <w:bCs/>
        </w:rPr>
      </w:pPr>
    </w:p>
    <w:p w14:paraId="42B3B9AD" w14:textId="77777777" w:rsidR="00DE0E16" w:rsidRDefault="00DE0E16" w:rsidP="00CA5734"/>
    <w:p w14:paraId="66819EB3" w14:textId="0C2C5C36" w:rsidR="00EB6590" w:rsidRPr="004C52C2" w:rsidRDefault="62911EFA" w:rsidP="00CA5734">
      <w:r>
        <w:t>Food Standards Australia New Zealand (FSANZ) has</w:t>
      </w:r>
      <w:r w:rsidR="0496527B">
        <w:t xml:space="preserve"> assessed </w:t>
      </w:r>
      <w:r w:rsidR="3D543641">
        <w:t>a proposal</w:t>
      </w:r>
      <w:r w:rsidR="0496527B">
        <w:t xml:space="preserve"> </w:t>
      </w:r>
      <w:r w:rsidR="3D543641">
        <w:t>to</w:t>
      </w:r>
      <w:r w:rsidR="0496527B">
        <w:t xml:space="preserve"> </w:t>
      </w:r>
      <w:r w:rsidR="40A99FC8">
        <w:t xml:space="preserve">strengthen </w:t>
      </w:r>
      <w:r w:rsidR="2A3D8B44">
        <w:t xml:space="preserve">food safety </w:t>
      </w:r>
      <w:r w:rsidR="40A99FC8">
        <w:t xml:space="preserve">in </w:t>
      </w:r>
      <w:r w:rsidR="71D61641">
        <w:t xml:space="preserve">food service and </w:t>
      </w:r>
      <w:r w:rsidR="5991CA19">
        <w:t xml:space="preserve">related </w:t>
      </w:r>
      <w:r w:rsidR="71D61641">
        <w:t>retail sectors</w:t>
      </w:r>
      <w:r w:rsidR="40A99FC8">
        <w:t xml:space="preserve"> and prepared a</w:t>
      </w:r>
      <w:r w:rsidR="71D61641">
        <w:t xml:space="preserve"> new standard and a consequential variation to the Australia New Zealand Food Standards Code. The</w:t>
      </w:r>
      <w:r w:rsidR="40A99FC8">
        <w:t xml:space="preserve"> new</w:t>
      </w:r>
      <w:r w:rsidR="71D61641">
        <w:t xml:space="preserve"> measures apply to Australia only and </w:t>
      </w:r>
      <w:r w:rsidR="40A99FC8">
        <w:t xml:space="preserve">are to </w:t>
      </w:r>
      <w:r w:rsidR="71D61641">
        <w:t>be supported by non-regulatory measures to improve food safety knowledge, risk management and culture</w:t>
      </w:r>
      <w:r w:rsidR="4C2BDF24">
        <w:t xml:space="preserve"> in these sectors</w:t>
      </w:r>
      <w:r w:rsidR="71D61641">
        <w:t>.</w:t>
      </w:r>
    </w:p>
    <w:p w14:paraId="15B219C3" w14:textId="77777777" w:rsidR="00CA5734" w:rsidRDefault="00CA5734" w:rsidP="00CA5734"/>
    <w:p w14:paraId="6C93146B" w14:textId="71C541F7" w:rsidR="00081B0A" w:rsidRPr="00582EC1" w:rsidRDefault="00081B0A" w:rsidP="00CA5734">
      <w:r>
        <w:t xml:space="preserve">On </w:t>
      </w:r>
      <w:r w:rsidR="004C52C2">
        <w:t>14 February 2022</w:t>
      </w:r>
      <w:r w:rsidR="003A7B84">
        <w:t>,</w:t>
      </w:r>
      <w:r>
        <w:t xml:space="preserve"> FSANZ </w:t>
      </w:r>
      <w:r w:rsidR="003A458A">
        <w:t xml:space="preserve">published a report with the risk and cost benefit analyses underpinning the draft standard and </w:t>
      </w:r>
      <w:r>
        <w:t xml:space="preserve">sought </w:t>
      </w:r>
      <w:r w:rsidR="003A7B84">
        <w:t xml:space="preserve">submissions </w:t>
      </w:r>
      <w:r w:rsidR="00A671E6">
        <w:t xml:space="preserve">on </w:t>
      </w:r>
      <w:r w:rsidR="00F526BD">
        <w:t>a draft standard</w:t>
      </w:r>
      <w:r w:rsidR="0078337E">
        <w:t xml:space="preserve"> and </w:t>
      </w:r>
      <w:r w:rsidR="004C52C2">
        <w:t>the consequential variation</w:t>
      </w:r>
      <w:r>
        <w:t>.</w:t>
      </w:r>
      <w:r w:rsidR="00F526BD">
        <w:t xml:space="preserve"> FSANZ received </w:t>
      </w:r>
      <w:r w:rsidR="00191F1B">
        <w:t>4</w:t>
      </w:r>
      <w:r w:rsidR="00DC14FC">
        <w:t>4</w:t>
      </w:r>
      <w:r w:rsidR="00F526BD">
        <w:t xml:space="preserve"> </w:t>
      </w:r>
      <w:hyperlink r:id="rId14" w:history="1">
        <w:r w:rsidR="00F526BD" w:rsidRPr="00370FF0">
          <w:rPr>
            <w:rStyle w:val="Hyperlink"/>
          </w:rPr>
          <w:t>submissions</w:t>
        </w:r>
      </w:hyperlink>
      <w:r w:rsidR="00F526BD">
        <w:t>.</w:t>
      </w:r>
    </w:p>
    <w:p w14:paraId="6183511E" w14:textId="77777777" w:rsidR="00CA5734" w:rsidRDefault="00CA5734" w:rsidP="00CA5734"/>
    <w:p w14:paraId="05CBDCAB" w14:textId="6129D7FF" w:rsidR="00081B0A" w:rsidRDefault="71D61641" w:rsidP="00CA5734">
      <w:r>
        <w:t xml:space="preserve">After having regard to the submissions received and the relevant matters as set out in this report, </w:t>
      </w:r>
      <w:r w:rsidR="0496527B">
        <w:t xml:space="preserve">FSANZ approved the draft </w:t>
      </w:r>
      <w:r w:rsidR="2A056F63">
        <w:t>standard</w:t>
      </w:r>
      <w:r>
        <w:t xml:space="preserve"> and consequential variation</w:t>
      </w:r>
      <w:r w:rsidR="00266CCA">
        <w:t xml:space="preserve"> on 14 September 2022.</w:t>
      </w:r>
      <w:r w:rsidR="0496527B" w:rsidRPr="342FFC39">
        <w:rPr>
          <w:color w:val="FF0000"/>
        </w:rPr>
        <w:t xml:space="preserve"> </w:t>
      </w:r>
      <w:r w:rsidR="00AAF5A1">
        <w:t xml:space="preserve">The </w:t>
      </w:r>
      <w:r w:rsidR="5991CA19">
        <w:t xml:space="preserve">Food Ministers’ Meeting (of </w:t>
      </w:r>
      <w:r w:rsidR="66B0A612" w:rsidRPr="342FFC39">
        <w:rPr>
          <w:rFonts w:cs="Helvetica"/>
          <w:lang w:val="en-AU"/>
        </w:rPr>
        <w:t xml:space="preserve">Australia and New Zealand </w:t>
      </w:r>
      <w:r w:rsidR="40F5ECC7" w:rsidRPr="342FFC39">
        <w:rPr>
          <w:rFonts w:cs="Helvetica"/>
          <w:lang w:val="en-AU"/>
        </w:rPr>
        <w:t>m</w:t>
      </w:r>
      <w:r w:rsidR="66B0A612" w:rsidRPr="342FFC39">
        <w:rPr>
          <w:rFonts w:cs="Helvetica"/>
          <w:lang w:val="en-AU"/>
        </w:rPr>
        <w:t>inister</w:t>
      </w:r>
      <w:r w:rsidR="5991CA19" w:rsidRPr="342FFC39">
        <w:rPr>
          <w:rFonts w:cs="Helvetica"/>
          <w:lang w:val="en-AU"/>
        </w:rPr>
        <w:t>s responsible for</w:t>
      </w:r>
      <w:r w:rsidR="66B0A612" w:rsidRPr="342FFC39">
        <w:rPr>
          <w:rFonts w:cs="Helvetica"/>
          <w:lang w:val="en-AU"/>
        </w:rPr>
        <w:t xml:space="preserve"> on </w:t>
      </w:r>
      <w:r w:rsidR="40F5ECC7" w:rsidRPr="342FFC39">
        <w:rPr>
          <w:rFonts w:cs="Helvetica"/>
          <w:lang w:val="en-AU"/>
        </w:rPr>
        <w:t xml:space="preserve">food </w:t>
      </w:r>
      <w:r w:rsidR="40F5ECC7" w:rsidRPr="342FFC39">
        <w:rPr>
          <w:rFonts w:cs="Arial"/>
        </w:rPr>
        <w:t>regulation</w:t>
      </w:r>
      <w:r w:rsidR="5991CA19" w:rsidRPr="342FFC39">
        <w:rPr>
          <w:rFonts w:cs="Arial"/>
        </w:rPr>
        <w:t>)</w:t>
      </w:r>
      <w:r w:rsidR="00AAF5A1">
        <w:t xml:space="preserve"> was notified of FSANZ’s decision on </w:t>
      </w:r>
      <w:r w:rsidR="00266CCA" w:rsidRPr="00266CCA">
        <w:t>28 September 2022.</w:t>
      </w:r>
    </w:p>
    <w:p w14:paraId="78DD4DC1" w14:textId="77777777" w:rsidR="00CA5734" w:rsidRDefault="00CA5734" w:rsidP="00CA5734"/>
    <w:p w14:paraId="3C313464" w14:textId="24391111" w:rsidR="00A671E6" w:rsidRDefault="003A7B84" w:rsidP="00CC5468">
      <w:pPr>
        <w:sectPr w:rsidR="00A671E6" w:rsidSect="00EB576F">
          <w:headerReference w:type="even"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r w:rsidRPr="004C52C2">
        <w:t>This R</w:t>
      </w:r>
      <w:r w:rsidR="00B425AA" w:rsidRPr="004C52C2">
        <w:t xml:space="preserve">eport is provided pursuant to </w:t>
      </w:r>
      <w:r w:rsidR="009A2699" w:rsidRPr="004C52C2">
        <w:t>paragraph</w:t>
      </w:r>
      <w:r w:rsidR="00081B0A" w:rsidRPr="004C52C2">
        <w:t xml:space="preserve"> </w:t>
      </w:r>
      <w:r w:rsidR="00F33470" w:rsidRPr="004C52C2">
        <w:t>63(1)(b)</w:t>
      </w:r>
      <w:r w:rsidR="00081B0A" w:rsidRPr="004C52C2">
        <w:t xml:space="preserve"> of the </w:t>
      </w:r>
      <w:r w:rsidR="00081B0A" w:rsidRPr="004C52C2">
        <w:rPr>
          <w:i/>
        </w:rPr>
        <w:t>Food Standards Australia New Zealand Act 1991</w:t>
      </w:r>
      <w:r w:rsidR="00582EC1">
        <w:t xml:space="preserve"> (the FSANZ Act).</w:t>
      </w:r>
    </w:p>
    <w:p w14:paraId="46B3A6E9" w14:textId="77777777" w:rsidR="0012388D" w:rsidRPr="007B7EAC" w:rsidRDefault="00D15A08" w:rsidP="00EC66BB">
      <w:pPr>
        <w:jc w:val="center"/>
        <w:rPr>
          <w:b/>
          <w:sz w:val="28"/>
          <w:szCs w:val="28"/>
        </w:rPr>
      </w:pPr>
      <w:r w:rsidRPr="007B7EAC">
        <w:rPr>
          <w:b/>
          <w:sz w:val="28"/>
          <w:szCs w:val="28"/>
        </w:rPr>
        <w:lastRenderedPageBreak/>
        <w:t xml:space="preserve">Table of </w:t>
      </w:r>
      <w:r w:rsidR="00B63BBA" w:rsidRPr="007B7EAC">
        <w:rPr>
          <w:b/>
          <w:sz w:val="28"/>
          <w:szCs w:val="28"/>
        </w:rPr>
        <w:t>c</w:t>
      </w:r>
      <w:r w:rsidRPr="007B7EAC">
        <w:rPr>
          <w:b/>
          <w:sz w:val="28"/>
          <w:szCs w:val="28"/>
        </w:rPr>
        <w:t>ontents</w:t>
      </w:r>
    </w:p>
    <w:p w14:paraId="71BBC80B" w14:textId="596303F2" w:rsidR="000F2049" w:rsidRDefault="00B55714">
      <w:pPr>
        <w:pStyle w:val="TOC1"/>
        <w:tabs>
          <w:tab w:val="right" w:leader="dot" w:pos="9016"/>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09300400" w:history="1">
        <w:r w:rsidR="000F2049" w:rsidRPr="0014252F">
          <w:rPr>
            <w:rStyle w:val="Hyperlink"/>
            <w:noProof/>
          </w:rPr>
          <w:t>Executive summary</w:t>
        </w:r>
        <w:r w:rsidR="000F2049">
          <w:rPr>
            <w:noProof/>
            <w:webHidden/>
          </w:rPr>
          <w:tab/>
        </w:r>
        <w:r w:rsidR="000F2049">
          <w:rPr>
            <w:noProof/>
            <w:webHidden/>
          </w:rPr>
          <w:fldChar w:fldCharType="begin"/>
        </w:r>
        <w:r w:rsidR="000F2049">
          <w:rPr>
            <w:noProof/>
            <w:webHidden/>
          </w:rPr>
          <w:instrText xml:space="preserve"> PAGEREF _Toc109300400 \h </w:instrText>
        </w:r>
        <w:r w:rsidR="000F2049">
          <w:rPr>
            <w:noProof/>
            <w:webHidden/>
          </w:rPr>
        </w:r>
        <w:r w:rsidR="000F2049">
          <w:rPr>
            <w:noProof/>
            <w:webHidden/>
          </w:rPr>
          <w:fldChar w:fldCharType="separate"/>
        </w:r>
        <w:r w:rsidR="00370FF0">
          <w:rPr>
            <w:noProof/>
            <w:webHidden/>
          </w:rPr>
          <w:t>3</w:t>
        </w:r>
        <w:r w:rsidR="000F2049">
          <w:rPr>
            <w:noProof/>
            <w:webHidden/>
          </w:rPr>
          <w:fldChar w:fldCharType="end"/>
        </w:r>
      </w:hyperlink>
    </w:p>
    <w:p w14:paraId="4BF64B33" w14:textId="4DE44386" w:rsidR="000F2049" w:rsidRDefault="00266CCA">
      <w:pPr>
        <w:pStyle w:val="TOC1"/>
        <w:tabs>
          <w:tab w:val="left" w:pos="440"/>
          <w:tab w:val="right" w:leader="dot" w:pos="9016"/>
        </w:tabs>
        <w:rPr>
          <w:rFonts w:eastAsiaTheme="minorEastAsia" w:cstheme="minorBidi"/>
          <w:b w:val="0"/>
          <w:bCs w:val="0"/>
          <w:caps w:val="0"/>
          <w:noProof/>
          <w:sz w:val="22"/>
          <w:szCs w:val="22"/>
          <w:lang w:eastAsia="en-GB" w:bidi="ar-SA"/>
        </w:rPr>
      </w:pPr>
      <w:hyperlink w:anchor="_Toc109300401" w:history="1">
        <w:r w:rsidR="000F2049" w:rsidRPr="0014252F">
          <w:rPr>
            <w:rStyle w:val="Hyperlink"/>
            <w:noProof/>
          </w:rPr>
          <w:t>1</w:t>
        </w:r>
        <w:r w:rsidR="000F2049">
          <w:rPr>
            <w:rFonts w:eastAsiaTheme="minorEastAsia" w:cstheme="minorBidi"/>
            <w:b w:val="0"/>
            <w:bCs w:val="0"/>
            <w:caps w:val="0"/>
            <w:noProof/>
            <w:sz w:val="22"/>
            <w:szCs w:val="22"/>
            <w:lang w:eastAsia="en-GB" w:bidi="ar-SA"/>
          </w:rPr>
          <w:tab/>
        </w:r>
        <w:r w:rsidR="000F2049" w:rsidRPr="0014252F">
          <w:rPr>
            <w:rStyle w:val="Hyperlink"/>
            <w:noProof/>
          </w:rPr>
          <w:t>Introduction</w:t>
        </w:r>
        <w:r w:rsidR="000F2049">
          <w:rPr>
            <w:noProof/>
            <w:webHidden/>
          </w:rPr>
          <w:tab/>
        </w:r>
        <w:r w:rsidR="000F2049">
          <w:rPr>
            <w:noProof/>
            <w:webHidden/>
          </w:rPr>
          <w:fldChar w:fldCharType="begin"/>
        </w:r>
        <w:r w:rsidR="000F2049">
          <w:rPr>
            <w:noProof/>
            <w:webHidden/>
          </w:rPr>
          <w:instrText xml:space="preserve"> PAGEREF _Toc109300401 \h </w:instrText>
        </w:r>
        <w:r w:rsidR="000F2049">
          <w:rPr>
            <w:noProof/>
            <w:webHidden/>
          </w:rPr>
        </w:r>
        <w:r w:rsidR="000F2049">
          <w:rPr>
            <w:noProof/>
            <w:webHidden/>
          </w:rPr>
          <w:fldChar w:fldCharType="separate"/>
        </w:r>
        <w:r w:rsidR="00370FF0">
          <w:rPr>
            <w:noProof/>
            <w:webHidden/>
          </w:rPr>
          <w:t>5</w:t>
        </w:r>
        <w:r w:rsidR="000F2049">
          <w:rPr>
            <w:noProof/>
            <w:webHidden/>
          </w:rPr>
          <w:fldChar w:fldCharType="end"/>
        </w:r>
      </w:hyperlink>
    </w:p>
    <w:p w14:paraId="42AFD173" w14:textId="03405AD2"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02" w:history="1">
        <w:r w:rsidR="000F2049" w:rsidRPr="0014252F">
          <w:rPr>
            <w:rStyle w:val="Hyperlink"/>
            <w:noProof/>
          </w:rPr>
          <w:t>1.1</w:t>
        </w:r>
        <w:r w:rsidR="000F2049">
          <w:rPr>
            <w:rFonts w:eastAsiaTheme="minorEastAsia" w:cstheme="minorBidi"/>
            <w:smallCaps w:val="0"/>
            <w:noProof/>
            <w:sz w:val="22"/>
            <w:szCs w:val="22"/>
            <w:lang w:eastAsia="en-GB" w:bidi="ar-SA"/>
          </w:rPr>
          <w:tab/>
        </w:r>
        <w:r w:rsidR="000F2049" w:rsidRPr="0014252F">
          <w:rPr>
            <w:rStyle w:val="Hyperlink"/>
            <w:noProof/>
          </w:rPr>
          <w:t>Reasons for preparing the proposal</w:t>
        </w:r>
        <w:r w:rsidR="000F2049">
          <w:rPr>
            <w:noProof/>
            <w:webHidden/>
          </w:rPr>
          <w:tab/>
        </w:r>
        <w:r w:rsidR="000F2049">
          <w:rPr>
            <w:noProof/>
            <w:webHidden/>
          </w:rPr>
          <w:fldChar w:fldCharType="begin"/>
        </w:r>
        <w:r w:rsidR="000F2049">
          <w:rPr>
            <w:noProof/>
            <w:webHidden/>
          </w:rPr>
          <w:instrText xml:space="preserve"> PAGEREF _Toc109300402 \h </w:instrText>
        </w:r>
        <w:r w:rsidR="000F2049">
          <w:rPr>
            <w:noProof/>
            <w:webHidden/>
          </w:rPr>
        </w:r>
        <w:r w:rsidR="000F2049">
          <w:rPr>
            <w:noProof/>
            <w:webHidden/>
          </w:rPr>
          <w:fldChar w:fldCharType="separate"/>
        </w:r>
        <w:r w:rsidR="00370FF0">
          <w:rPr>
            <w:noProof/>
            <w:webHidden/>
          </w:rPr>
          <w:t>5</w:t>
        </w:r>
        <w:r w:rsidR="000F2049">
          <w:rPr>
            <w:noProof/>
            <w:webHidden/>
          </w:rPr>
          <w:fldChar w:fldCharType="end"/>
        </w:r>
      </w:hyperlink>
    </w:p>
    <w:p w14:paraId="6E02EE29" w14:textId="3F70AFCA"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03" w:history="1">
        <w:r w:rsidR="000F2049" w:rsidRPr="0014252F">
          <w:rPr>
            <w:rStyle w:val="Hyperlink"/>
            <w:noProof/>
          </w:rPr>
          <w:t>1.2</w:t>
        </w:r>
        <w:r w:rsidR="000F2049">
          <w:rPr>
            <w:rFonts w:eastAsiaTheme="minorEastAsia" w:cstheme="minorBidi"/>
            <w:smallCaps w:val="0"/>
            <w:noProof/>
            <w:sz w:val="22"/>
            <w:szCs w:val="22"/>
            <w:lang w:eastAsia="en-GB" w:bidi="ar-SA"/>
          </w:rPr>
          <w:tab/>
        </w:r>
        <w:r w:rsidR="000F2049" w:rsidRPr="0014252F">
          <w:rPr>
            <w:rStyle w:val="Hyperlink"/>
            <w:noProof/>
          </w:rPr>
          <w:t>Scope of the proposal</w:t>
        </w:r>
        <w:r w:rsidR="000F2049">
          <w:rPr>
            <w:noProof/>
            <w:webHidden/>
          </w:rPr>
          <w:tab/>
        </w:r>
        <w:r w:rsidR="000F2049">
          <w:rPr>
            <w:noProof/>
            <w:webHidden/>
          </w:rPr>
          <w:fldChar w:fldCharType="begin"/>
        </w:r>
        <w:r w:rsidR="000F2049">
          <w:rPr>
            <w:noProof/>
            <w:webHidden/>
          </w:rPr>
          <w:instrText xml:space="preserve"> PAGEREF _Toc109300403 \h </w:instrText>
        </w:r>
        <w:r w:rsidR="000F2049">
          <w:rPr>
            <w:noProof/>
            <w:webHidden/>
          </w:rPr>
        </w:r>
        <w:r w:rsidR="000F2049">
          <w:rPr>
            <w:noProof/>
            <w:webHidden/>
          </w:rPr>
          <w:fldChar w:fldCharType="separate"/>
        </w:r>
        <w:r w:rsidR="00370FF0">
          <w:rPr>
            <w:noProof/>
            <w:webHidden/>
          </w:rPr>
          <w:t>5</w:t>
        </w:r>
        <w:r w:rsidR="000F2049">
          <w:rPr>
            <w:noProof/>
            <w:webHidden/>
          </w:rPr>
          <w:fldChar w:fldCharType="end"/>
        </w:r>
      </w:hyperlink>
    </w:p>
    <w:p w14:paraId="01777C61" w14:textId="7339988A"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04" w:history="1">
        <w:r w:rsidR="000F2049" w:rsidRPr="0014252F">
          <w:rPr>
            <w:rStyle w:val="Hyperlink"/>
            <w:noProof/>
          </w:rPr>
          <w:t>1.3</w:t>
        </w:r>
        <w:r w:rsidR="000F2049">
          <w:rPr>
            <w:rFonts w:eastAsiaTheme="minorEastAsia" w:cstheme="minorBidi"/>
            <w:smallCaps w:val="0"/>
            <w:noProof/>
            <w:sz w:val="22"/>
            <w:szCs w:val="22"/>
            <w:lang w:eastAsia="en-GB" w:bidi="ar-SA"/>
          </w:rPr>
          <w:tab/>
        </w:r>
        <w:r w:rsidR="000F2049" w:rsidRPr="0014252F">
          <w:rPr>
            <w:rStyle w:val="Hyperlink"/>
            <w:noProof/>
          </w:rPr>
          <w:t>The current standard</w:t>
        </w:r>
        <w:r w:rsidR="000F2049">
          <w:rPr>
            <w:noProof/>
            <w:webHidden/>
          </w:rPr>
          <w:tab/>
        </w:r>
        <w:r w:rsidR="000F2049">
          <w:rPr>
            <w:noProof/>
            <w:webHidden/>
          </w:rPr>
          <w:fldChar w:fldCharType="begin"/>
        </w:r>
        <w:r w:rsidR="000F2049">
          <w:rPr>
            <w:noProof/>
            <w:webHidden/>
          </w:rPr>
          <w:instrText xml:space="preserve"> PAGEREF _Toc109300404 \h </w:instrText>
        </w:r>
        <w:r w:rsidR="000F2049">
          <w:rPr>
            <w:noProof/>
            <w:webHidden/>
          </w:rPr>
        </w:r>
        <w:r w:rsidR="000F2049">
          <w:rPr>
            <w:noProof/>
            <w:webHidden/>
          </w:rPr>
          <w:fldChar w:fldCharType="separate"/>
        </w:r>
        <w:r w:rsidR="00370FF0">
          <w:rPr>
            <w:noProof/>
            <w:webHidden/>
          </w:rPr>
          <w:t>5</w:t>
        </w:r>
        <w:r w:rsidR="000F2049">
          <w:rPr>
            <w:noProof/>
            <w:webHidden/>
          </w:rPr>
          <w:fldChar w:fldCharType="end"/>
        </w:r>
      </w:hyperlink>
    </w:p>
    <w:p w14:paraId="5FEB54DA" w14:textId="58B1C469"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05" w:history="1">
        <w:r w:rsidR="000F2049" w:rsidRPr="0014252F">
          <w:rPr>
            <w:rStyle w:val="Hyperlink"/>
            <w:noProof/>
          </w:rPr>
          <w:t>1.4</w:t>
        </w:r>
        <w:r w:rsidR="000F2049">
          <w:rPr>
            <w:rFonts w:eastAsiaTheme="minorEastAsia" w:cstheme="minorBidi"/>
            <w:smallCaps w:val="0"/>
            <w:noProof/>
            <w:sz w:val="22"/>
            <w:szCs w:val="22"/>
            <w:lang w:eastAsia="en-GB" w:bidi="ar-SA"/>
          </w:rPr>
          <w:tab/>
        </w:r>
        <w:r w:rsidR="000F2049" w:rsidRPr="0014252F">
          <w:rPr>
            <w:rStyle w:val="Hyperlink"/>
            <w:noProof/>
          </w:rPr>
          <w:t>Procedure for assessment</w:t>
        </w:r>
        <w:r w:rsidR="000F2049">
          <w:rPr>
            <w:noProof/>
            <w:webHidden/>
          </w:rPr>
          <w:tab/>
        </w:r>
        <w:r w:rsidR="000F2049">
          <w:rPr>
            <w:noProof/>
            <w:webHidden/>
          </w:rPr>
          <w:fldChar w:fldCharType="begin"/>
        </w:r>
        <w:r w:rsidR="000F2049">
          <w:rPr>
            <w:noProof/>
            <w:webHidden/>
          </w:rPr>
          <w:instrText xml:space="preserve"> PAGEREF _Toc109300405 \h </w:instrText>
        </w:r>
        <w:r w:rsidR="000F2049">
          <w:rPr>
            <w:noProof/>
            <w:webHidden/>
          </w:rPr>
        </w:r>
        <w:r w:rsidR="000F2049">
          <w:rPr>
            <w:noProof/>
            <w:webHidden/>
          </w:rPr>
          <w:fldChar w:fldCharType="separate"/>
        </w:r>
        <w:r w:rsidR="00370FF0">
          <w:rPr>
            <w:noProof/>
            <w:webHidden/>
          </w:rPr>
          <w:t>6</w:t>
        </w:r>
        <w:r w:rsidR="000F2049">
          <w:rPr>
            <w:noProof/>
            <w:webHidden/>
          </w:rPr>
          <w:fldChar w:fldCharType="end"/>
        </w:r>
      </w:hyperlink>
    </w:p>
    <w:p w14:paraId="62231133" w14:textId="4EE2C6C3"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06" w:history="1">
        <w:r w:rsidR="000F2049" w:rsidRPr="0014252F">
          <w:rPr>
            <w:rStyle w:val="Hyperlink"/>
            <w:noProof/>
          </w:rPr>
          <w:t>1.5</w:t>
        </w:r>
        <w:r w:rsidR="000F2049">
          <w:rPr>
            <w:rFonts w:eastAsiaTheme="minorEastAsia" w:cstheme="minorBidi"/>
            <w:smallCaps w:val="0"/>
            <w:noProof/>
            <w:sz w:val="22"/>
            <w:szCs w:val="22"/>
            <w:lang w:eastAsia="en-GB" w:bidi="ar-SA"/>
          </w:rPr>
          <w:tab/>
        </w:r>
        <w:r w:rsidR="000F2049" w:rsidRPr="0014252F">
          <w:rPr>
            <w:rStyle w:val="Hyperlink"/>
            <w:noProof/>
          </w:rPr>
          <w:t>Decision</w:t>
        </w:r>
        <w:r w:rsidR="000F2049">
          <w:rPr>
            <w:noProof/>
            <w:webHidden/>
          </w:rPr>
          <w:tab/>
        </w:r>
        <w:r w:rsidR="000F2049">
          <w:rPr>
            <w:noProof/>
            <w:webHidden/>
          </w:rPr>
          <w:fldChar w:fldCharType="begin"/>
        </w:r>
        <w:r w:rsidR="000F2049">
          <w:rPr>
            <w:noProof/>
            <w:webHidden/>
          </w:rPr>
          <w:instrText xml:space="preserve"> PAGEREF _Toc109300406 \h </w:instrText>
        </w:r>
        <w:r w:rsidR="000F2049">
          <w:rPr>
            <w:noProof/>
            <w:webHidden/>
          </w:rPr>
        </w:r>
        <w:r w:rsidR="000F2049">
          <w:rPr>
            <w:noProof/>
            <w:webHidden/>
          </w:rPr>
          <w:fldChar w:fldCharType="separate"/>
        </w:r>
        <w:r w:rsidR="00370FF0">
          <w:rPr>
            <w:noProof/>
            <w:webHidden/>
          </w:rPr>
          <w:t>6</w:t>
        </w:r>
        <w:r w:rsidR="000F2049">
          <w:rPr>
            <w:noProof/>
            <w:webHidden/>
          </w:rPr>
          <w:fldChar w:fldCharType="end"/>
        </w:r>
      </w:hyperlink>
    </w:p>
    <w:p w14:paraId="7657CD4E" w14:textId="50AFA9DA" w:rsidR="000F2049" w:rsidRDefault="00266CCA">
      <w:pPr>
        <w:pStyle w:val="TOC1"/>
        <w:tabs>
          <w:tab w:val="left" w:pos="440"/>
          <w:tab w:val="right" w:leader="dot" w:pos="9016"/>
        </w:tabs>
        <w:rPr>
          <w:rFonts w:eastAsiaTheme="minorEastAsia" w:cstheme="minorBidi"/>
          <w:b w:val="0"/>
          <w:bCs w:val="0"/>
          <w:caps w:val="0"/>
          <w:noProof/>
          <w:sz w:val="22"/>
          <w:szCs w:val="22"/>
          <w:lang w:eastAsia="en-GB" w:bidi="ar-SA"/>
        </w:rPr>
      </w:pPr>
      <w:hyperlink w:anchor="_Toc109300407" w:history="1">
        <w:r w:rsidR="000F2049" w:rsidRPr="0014252F">
          <w:rPr>
            <w:rStyle w:val="Hyperlink"/>
            <w:noProof/>
          </w:rPr>
          <w:t>2</w:t>
        </w:r>
        <w:r w:rsidR="000F2049">
          <w:rPr>
            <w:rFonts w:eastAsiaTheme="minorEastAsia" w:cstheme="minorBidi"/>
            <w:b w:val="0"/>
            <w:bCs w:val="0"/>
            <w:caps w:val="0"/>
            <w:noProof/>
            <w:sz w:val="22"/>
            <w:szCs w:val="22"/>
            <w:lang w:eastAsia="en-GB" w:bidi="ar-SA"/>
          </w:rPr>
          <w:tab/>
        </w:r>
        <w:r w:rsidR="000F2049" w:rsidRPr="0014252F">
          <w:rPr>
            <w:rStyle w:val="Hyperlink"/>
            <w:noProof/>
          </w:rPr>
          <w:t>Summary of the proposal assessment</w:t>
        </w:r>
        <w:r w:rsidR="000F2049">
          <w:rPr>
            <w:noProof/>
            <w:webHidden/>
          </w:rPr>
          <w:tab/>
        </w:r>
        <w:r w:rsidR="000F2049">
          <w:rPr>
            <w:noProof/>
            <w:webHidden/>
          </w:rPr>
          <w:fldChar w:fldCharType="begin"/>
        </w:r>
        <w:r w:rsidR="000F2049">
          <w:rPr>
            <w:noProof/>
            <w:webHidden/>
          </w:rPr>
          <w:instrText xml:space="preserve"> PAGEREF _Toc109300407 \h </w:instrText>
        </w:r>
        <w:r w:rsidR="000F2049">
          <w:rPr>
            <w:noProof/>
            <w:webHidden/>
          </w:rPr>
        </w:r>
        <w:r w:rsidR="000F2049">
          <w:rPr>
            <w:noProof/>
            <w:webHidden/>
          </w:rPr>
          <w:fldChar w:fldCharType="separate"/>
        </w:r>
        <w:r w:rsidR="00370FF0">
          <w:rPr>
            <w:noProof/>
            <w:webHidden/>
          </w:rPr>
          <w:t>6</w:t>
        </w:r>
        <w:r w:rsidR="000F2049">
          <w:rPr>
            <w:noProof/>
            <w:webHidden/>
          </w:rPr>
          <w:fldChar w:fldCharType="end"/>
        </w:r>
      </w:hyperlink>
    </w:p>
    <w:p w14:paraId="216C2C3D" w14:textId="601F893F"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08" w:history="1">
        <w:r w:rsidR="000F2049" w:rsidRPr="0014252F">
          <w:rPr>
            <w:rStyle w:val="Hyperlink"/>
            <w:noProof/>
          </w:rPr>
          <w:t>2.1</w:t>
        </w:r>
        <w:r w:rsidR="000F2049">
          <w:rPr>
            <w:rFonts w:eastAsiaTheme="minorEastAsia" w:cstheme="minorBidi"/>
            <w:smallCaps w:val="0"/>
            <w:noProof/>
            <w:sz w:val="22"/>
            <w:szCs w:val="22"/>
            <w:lang w:eastAsia="en-GB" w:bidi="ar-SA"/>
          </w:rPr>
          <w:tab/>
        </w:r>
        <w:r w:rsidR="000F2049" w:rsidRPr="0014252F">
          <w:rPr>
            <w:rStyle w:val="Hyperlink"/>
            <w:noProof/>
          </w:rPr>
          <w:t>Stakeholder views</w:t>
        </w:r>
        <w:r w:rsidR="000F2049">
          <w:rPr>
            <w:noProof/>
            <w:webHidden/>
          </w:rPr>
          <w:tab/>
        </w:r>
        <w:r w:rsidR="000F2049">
          <w:rPr>
            <w:noProof/>
            <w:webHidden/>
          </w:rPr>
          <w:fldChar w:fldCharType="begin"/>
        </w:r>
        <w:r w:rsidR="000F2049">
          <w:rPr>
            <w:noProof/>
            <w:webHidden/>
          </w:rPr>
          <w:instrText xml:space="preserve"> PAGEREF _Toc109300408 \h </w:instrText>
        </w:r>
        <w:r w:rsidR="000F2049">
          <w:rPr>
            <w:noProof/>
            <w:webHidden/>
          </w:rPr>
        </w:r>
        <w:r w:rsidR="000F2049">
          <w:rPr>
            <w:noProof/>
            <w:webHidden/>
          </w:rPr>
          <w:fldChar w:fldCharType="separate"/>
        </w:r>
        <w:r w:rsidR="00370FF0">
          <w:rPr>
            <w:noProof/>
            <w:webHidden/>
          </w:rPr>
          <w:t>6</w:t>
        </w:r>
        <w:r w:rsidR="000F2049">
          <w:rPr>
            <w:noProof/>
            <w:webHidden/>
          </w:rPr>
          <w:fldChar w:fldCharType="end"/>
        </w:r>
      </w:hyperlink>
    </w:p>
    <w:p w14:paraId="4DE9E039" w14:textId="3B1F0D7B"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09" w:history="1">
        <w:r w:rsidR="000F2049" w:rsidRPr="0014252F">
          <w:rPr>
            <w:rStyle w:val="Hyperlink"/>
            <w:noProof/>
          </w:rPr>
          <w:t>2.2</w:t>
        </w:r>
        <w:r w:rsidR="000F2049">
          <w:rPr>
            <w:rFonts w:eastAsiaTheme="minorEastAsia" w:cstheme="minorBidi"/>
            <w:smallCaps w:val="0"/>
            <w:noProof/>
            <w:sz w:val="22"/>
            <w:szCs w:val="22"/>
            <w:lang w:eastAsia="en-GB" w:bidi="ar-SA"/>
          </w:rPr>
          <w:tab/>
        </w:r>
        <w:r w:rsidR="000F2049" w:rsidRPr="0014252F">
          <w:rPr>
            <w:rStyle w:val="Hyperlink"/>
            <w:noProof/>
          </w:rPr>
          <w:t>Risk profiling of Australian food service and retail businesses</w:t>
        </w:r>
        <w:r w:rsidR="000F2049">
          <w:rPr>
            <w:noProof/>
            <w:webHidden/>
          </w:rPr>
          <w:tab/>
        </w:r>
        <w:r w:rsidR="000F2049">
          <w:rPr>
            <w:noProof/>
            <w:webHidden/>
          </w:rPr>
          <w:fldChar w:fldCharType="begin"/>
        </w:r>
        <w:r w:rsidR="000F2049">
          <w:rPr>
            <w:noProof/>
            <w:webHidden/>
          </w:rPr>
          <w:instrText xml:space="preserve"> PAGEREF _Toc109300409 \h </w:instrText>
        </w:r>
        <w:r w:rsidR="000F2049">
          <w:rPr>
            <w:noProof/>
            <w:webHidden/>
          </w:rPr>
        </w:r>
        <w:r w:rsidR="000F2049">
          <w:rPr>
            <w:noProof/>
            <w:webHidden/>
          </w:rPr>
          <w:fldChar w:fldCharType="separate"/>
        </w:r>
        <w:r w:rsidR="00370FF0">
          <w:rPr>
            <w:noProof/>
            <w:webHidden/>
          </w:rPr>
          <w:t>7</w:t>
        </w:r>
        <w:r w:rsidR="000F2049">
          <w:rPr>
            <w:noProof/>
            <w:webHidden/>
          </w:rPr>
          <w:fldChar w:fldCharType="end"/>
        </w:r>
      </w:hyperlink>
    </w:p>
    <w:p w14:paraId="204BD02A" w14:textId="25A0FDEC"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10" w:history="1">
        <w:r w:rsidR="000F2049" w:rsidRPr="0014252F">
          <w:rPr>
            <w:rStyle w:val="Hyperlink"/>
            <w:noProof/>
          </w:rPr>
          <w:t>2.2.1</w:t>
        </w:r>
        <w:r w:rsidR="000F2049">
          <w:rPr>
            <w:rFonts w:eastAsiaTheme="minorEastAsia" w:cstheme="minorBidi"/>
            <w:i w:val="0"/>
            <w:iCs w:val="0"/>
            <w:noProof/>
            <w:sz w:val="22"/>
            <w:szCs w:val="22"/>
            <w:lang w:eastAsia="en-GB" w:bidi="ar-SA"/>
          </w:rPr>
          <w:tab/>
        </w:r>
        <w:r w:rsidR="000F2049" w:rsidRPr="0014252F">
          <w:rPr>
            <w:rStyle w:val="Hyperlink"/>
            <w:noProof/>
          </w:rPr>
          <w:t>Review of OzFoodNet data</w:t>
        </w:r>
        <w:r w:rsidR="000F2049">
          <w:rPr>
            <w:noProof/>
            <w:webHidden/>
          </w:rPr>
          <w:tab/>
        </w:r>
        <w:r w:rsidR="000F2049">
          <w:rPr>
            <w:noProof/>
            <w:webHidden/>
          </w:rPr>
          <w:fldChar w:fldCharType="begin"/>
        </w:r>
        <w:r w:rsidR="000F2049">
          <w:rPr>
            <w:noProof/>
            <w:webHidden/>
          </w:rPr>
          <w:instrText xml:space="preserve"> PAGEREF _Toc109300410 \h </w:instrText>
        </w:r>
        <w:r w:rsidR="000F2049">
          <w:rPr>
            <w:noProof/>
            <w:webHidden/>
          </w:rPr>
        </w:r>
        <w:r w:rsidR="000F2049">
          <w:rPr>
            <w:noProof/>
            <w:webHidden/>
          </w:rPr>
          <w:fldChar w:fldCharType="separate"/>
        </w:r>
        <w:r w:rsidR="00370FF0">
          <w:rPr>
            <w:noProof/>
            <w:webHidden/>
          </w:rPr>
          <w:t>8</w:t>
        </w:r>
        <w:r w:rsidR="000F2049">
          <w:rPr>
            <w:noProof/>
            <w:webHidden/>
          </w:rPr>
          <w:fldChar w:fldCharType="end"/>
        </w:r>
      </w:hyperlink>
    </w:p>
    <w:p w14:paraId="177D8C7D" w14:textId="49FE1BBC"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11" w:history="1">
        <w:r w:rsidR="000F2049" w:rsidRPr="0014252F">
          <w:rPr>
            <w:rStyle w:val="Hyperlink"/>
            <w:noProof/>
          </w:rPr>
          <w:t>2.2.2</w:t>
        </w:r>
        <w:r w:rsidR="000F2049">
          <w:rPr>
            <w:rFonts w:eastAsiaTheme="minorEastAsia" w:cstheme="minorBidi"/>
            <w:i w:val="0"/>
            <w:iCs w:val="0"/>
            <w:noProof/>
            <w:sz w:val="22"/>
            <w:szCs w:val="22"/>
            <w:lang w:eastAsia="en-GB" w:bidi="ar-SA"/>
          </w:rPr>
          <w:tab/>
        </w:r>
        <w:r w:rsidR="000F2049" w:rsidRPr="0014252F">
          <w:rPr>
            <w:rStyle w:val="Hyperlink"/>
            <w:noProof/>
          </w:rPr>
          <w:t>Review of business sector classifications based on food safety risk</w:t>
        </w:r>
        <w:r w:rsidR="000F2049">
          <w:rPr>
            <w:noProof/>
            <w:webHidden/>
          </w:rPr>
          <w:tab/>
        </w:r>
        <w:r w:rsidR="000F2049">
          <w:rPr>
            <w:noProof/>
            <w:webHidden/>
          </w:rPr>
          <w:fldChar w:fldCharType="begin"/>
        </w:r>
        <w:r w:rsidR="000F2049">
          <w:rPr>
            <w:noProof/>
            <w:webHidden/>
          </w:rPr>
          <w:instrText xml:space="preserve"> PAGEREF _Toc109300411 \h </w:instrText>
        </w:r>
        <w:r w:rsidR="000F2049">
          <w:rPr>
            <w:noProof/>
            <w:webHidden/>
          </w:rPr>
        </w:r>
        <w:r w:rsidR="000F2049">
          <w:rPr>
            <w:noProof/>
            <w:webHidden/>
          </w:rPr>
          <w:fldChar w:fldCharType="separate"/>
        </w:r>
        <w:r w:rsidR="00370FF0">
          <w:rPr>
            <w:noProof/>
            <w:webHidden/>
          </w:rPr>
          <w:t>8</w:t>
        </w:r>
        <w:r w:rsidR="000F2049">
          <w:rPr>
            <w:noProof/>
            <w:webHidden/>
          </w:rPr>
          <w:fldChar w:fldCharType="end"/>
        </w:r>
      </w:hyperlink>
    </w:p>
    <w:p w14:paraId="468357D9" w14:textId="6607C021"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12" w:history="1">
        <w:r w:rsidR="000F2049" w:rsidRPr="0014252F">
          <w:rPr>
            <w:rStyle w:val="Hyperlink"/>
            <w:noProof/>
          </w:rPr>
          <w:t>2.2.3</w:t>
        </w:r>
        <w:r w:rsidR="000F2049">
          <w:rPr>
            <w:rFonts w:eastAsiaTheme="minorEastAsia" w:cstheme="minorBidi"/>
            <w:i w:val="0"/>
            <w:iCs w:val="0"/>
            <w:noProof/>
            <w:sz w:val="22"/>
            <w:szCs w:val="22"/>
            <w:lang w:eastAsia="en-GB" w:bidi="ar-SA"/>
          </w:rPr>
          <w:tab/>
        </w:r>
        <w:r w:rsidR="000F2049" w:rsidRPr="0014252F">
          <w:rPr>
            <w:rStyle w:val="Hyperlink"/>
            <w:noProof/>
          </w:rPr>
          <w:t>Priority categorisation of food handling activities</w:t>
        </w:r>
        <w:r w:rsidR="000F2049">
          <w:rPr>
            <w:noProof/>
            <w:webHidden/>
          </w:rPr>
          <w:tab/>
        </w:r>
        <w:r w:rsidR="000F2049">
          <w:rPr>
            <w:noProof/>
            <w:webHidden/>
          </w:rPr>
          <w:fldChar w:fldCharType="begin"/>
        </w:r>
        <w:r w:rsidR="000F2049">
          <w:rPr>
            <w:noProof/>
            <w:webHidden/>
          </w:rPr>
          <w:instrText xml:space="preserve"> PAGEREF _Toc109300412 \h </w:instrText>
        </w:r>
        <w:r w:rsidR="000F2049">
          <w:rPr>
            <w:noProof/>
            <w:webHidden/>
          </w:rPr>
        </w:r>
        <w:r w:rsidR="000F2049">
          <w:rPr>
            <w:noProof/>
            <w:webHidden/>
          </w:rPr>
          <w:fldChar w:fldCharType="separate"/>
        </w:r>
        <w:r w:rsidR="00370FF0">
          <w:rPr>
            <w:noProof/>
            <w:webHidden/>
          </w:rPr>
          <w:t>8</w:t>
        </w:r>
        <w:r w:rsidR="000F2049">
          <w:rPr>
            <w:noProof/>
            <w:webHidden/>
          </w:rPr>
          <w:fldChar w:fldCharType="end"/>
        </w:r>
      </w:hyperlink>
    </w:p>
    <w:p w14:paraId="37CE01C4" w14:textId="2AF4062C"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13" w:history="1">
        <w:r w:rsidR="000F2049" w:rsidRPr="0014252F">
          <w:rPr>
            <w:rStyle w:val="Hyperlink"/>
            <w:noProof/>
          </w:rPr>
          <w:t>2.2.4</w:t>
        </w:r>
        <w:r w:rsidR="000F2049">
          <w:rPr>
            <w:rFonts w:eastAsiaTheme="minorEastAsia" w:cstheme="minorBidi"/>
            <w:i w:val="0"/>
            <w:iCs w:val="0"/>
            <w:noProof/>
            <w:sz w:val="22"/>
            <w:szCs w:val="22"/>
            <w:lang w:eastAsia="en-GB" w:bidi="ar-SA"/>
          </w:rPr>
          <w:tab/>
        </w:r>
        <w:r w:rsidR="000F2049" w:rsidRPr="0014252F">
          <w:rPr>
            <w:rStyle w:val="Hyperlink"/>
            <w:noProof/>
          </w:rPr>
          <w:t>Conclusion</w:t>
        </w:r>
        <w:r w:rsidR="000F2049">
          <w:rPr>
            <w:noProof/>
            <w:webHidden/>
          </w:rPr>
          <w:tab/>
        </w:r>
        <w:r w:rsidR="000F2049">
          <w:rPr>
            <w:noProof/>
            <w:webHidden/>
          </w:rPr>
          <w:fldChar w:fldCharType="begin"/>
        </w:r>
        <w:r w:rsidR="000F2049">
          <w:rPr>
            <w:noProof/>
            <w:webHidden/>
          </w:rPr>
          <w:instrText xml:space="preserve"> PAGEREF _Toc109300413 \h </w:instrText>
        </w:r>
        <w:r w:rsidR="000F2049">
          <w:rPr>
            <w:noProof/>
            <w:webHidden/>
          </w:rPr>
        </w:r>
        <w:r w:rsidR="000F2049">
          <w:rPr>
            <w:noProof/>
            <w:webHidden/>
          </w:rPr>
          <w:fldChar w:fldCharType="separate"/>
        </w:r>
        <w:r w:rsidR="00370FF0">
          <w:rPr>
            <w:noProof/>
            <w:webHidden/>
          </w:rPr>
          <w:t>10</w:t>
        </w:r>
        <w:r w:rsidR="000F2049">
          <w:rPr>
            <w:noProof/>
            <w:webHidden/>
          </w:rPr>
          <w:fldChar w:fldCharType="end"/>
        </w:r>
      </w:hyperlink>
    </w:p>
    <w:p w14:paraId="75267F30" w14:textId="2AD92F13"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14" w:history="1">
        <w:r w:rsidR="000F2049" w:rsidRPr="0014252F">
          <w:rPr>
            <w:rStyle w:val="Hyperlink"/>
            <w:noProof/>
          </w:rPr>
          <w:t>2.3</w:t>
        </w:r>
        <w:r w:rsidR="000F2049">
          <w:rPr>
            <w:rFonts w:eastAsiaTheme="minorEastAsia" w:cstheme="minorBidi"/>
            <w:smallCaps w:val="0"/>
            <w:noProof/>
            <w:sz w:val="22"/>
            <w:szCs w:val="22"/>
            <w:lang w:eastAsia="en-GB" w:bidi="ar-SA"/>
          </w:rPr>
          <w:tab/>
        </w:r>
        <w:r w:rsidR="000F2049" w:rsidRPr="0014252F">
          <w:rPr>
            <w:rStyle w:val="Hyperlink"/>
            <w:noProof/>
          </w:rPr>
          <w:t>Risk management</w:t>
        </w:r>
        <w:r w:rsidR="000F2049">
          <w:rPr>
            <w:noProof/>
            <w:webHidden/>
          </w:rPr>
          <w:tab/>
        </w:r>
        <w:r w:rsidR="000F2049">
          <w:rPr>
            <w:noProof/>
            <w:webHidden/>
          </w:rPr>
          <w:fldChar w:fldCharType="begin"/>
        </w:r>
        <w:r w:rsidR="000F2049">
          <w:rPr>
            <w:noProof/>
            <w:webHidden/>
          </w:rPr>
          <w:instrText xml:space="preserve"> PAGEREF _Toc109300414 \h </w:instrText>
        </w:r>
        <w:r w:rsidR="000F2049">
          <w:rPr>
            <w:noProof/>
            <w:webHidden/>
          </w:rPr>
        </w:r>
        <w:r w:rsidR="000F2049">
          <w:rPr>
            <w:noProof/>
            <w:webHidden/>
          </w:rPr>
          <w:fldChar w:fldCharType="separate"/>
        </w:r>
        <w:r w:rsidR="00370FF0">
          <w:rPr>
            <w:noProof/>
            <w:webHidden/>
          </w:rPr>
          <w:t>10</w:t>
        </w:r>
        <w:r w:rsidR="000F2049">
          <w:rPr>
            <w:noProof/>
            <w:webHidden/>
          </w:rPr>
          <w:fldChar w:fldCharType="end"/>
        </w:r>
      </w:hyperlink>
    </w:p>
    <w:p w14:paraId="60EA3D1C" w14:textId="4F4E750B"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15" w:history="1">
        <w:r w:rsidR="000F2049" w:rsidRPr="0014252F">
          <w:rPr>
            <w:rStyle w:val="Hyperlink"/>
            <w:noProof/>
          </w:rPr>
          <w:t>2.3.1</w:t>
        </w:r>
        <w:r w:rsidR="000F2049">
          <w:rPr>
            <w:rFonts w:eastAsiaTheme="minorEastAsia" w:cstheme="minorBidi"/>
            <w:i w:val="0"/>
            <w:iCs w:val="0"/>
            <w:noProof/>
            <w:sz w:val="22"/>
            <w:szCs w:val="22"/>
            <w:lang w:eastAsia="en-GB" w:bidi="ar-SA"/>
          </w:rPr>
          <w:tab/>
        </w:r>
        <w:r w:rsidR="000F2049" w:rsidRPr="0014252F">
          <w:rPr>
            <w:rStyle w:val="Hyperlink"/>
            <w:noProof/>
          </w:rPr>
          <w:t>Principles</w:t>
        </w:r>
        <w:r w:rsidR="000F2049">
          <w:rPr>
            <w:noProof/>
            <w:webHidden/>
          </w:rPr>
          <w:tab/>
        </w:r>
        <w:r w:rsidR="000F2049">
          <w:rPr>
            <w:noProof/>
            <w:webHidden/>
          </w:rPr>
          <w:fldChar w:fldCharType="begin"/>
        </w:r>
        <w:r w:rsidR="000F2049">
          <w:rPr>
            <w:noProof/>
            <w:webHidden/>
          </w:rPr>
          <w:instrText xml:space="preserve"> PAGEREF _Toc109300415 \h </w:instrText>
        </w:r>
        <w:r w:rsidR="000F2049">
          <w:rPr>
            <w:noProof/>
            <w:webHidden/>
          </w:rPr>
        </w:r>
        <w:r w:rsidR="000F2049">
          <w:rPr>
            <w:noProof/>
            <w:webHidden/>
          </w:rPr>
          <w:fldChar w:fldCharType="separate"/>
        </w:r>
        <w:r w:rsidR="00370FF0">
          <w:rPr>
            <w:noProof/>
            <w:webHidden/>
          </w:rPr>
          <w:t>10</w:t>
        </w:r>
        <w:r w:rsidR="000F2049">
          <w:rPr>
            <w:noProof/>
            <w:webHidden/>
          </w:rPr>
          <w:fldChar w:fldCharType="end"/>
        </w:r>
      </w:hyperlink>
    </w:p>
    <w:p w14:paraId="153751F0" w14:textId="12852092"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16" w:history="1">
        <w:r w:rsidR="000F2049" w:rsidRPr="0014252F">
          <w:rPr>
            <w:rStyle w:val="Hyperlink"/>
            <w:noProof/>
          </w:rPr>
          <w:t>2.3.2</w:t>
        </w:r>
        <w:r w:rsidR="000F2049">
          <w:rPr>
            <w:rFonts w:eastAsiaTheme="minorEastAsia" w:cstheme="minorBidi"/>
            <w:i w:val="0"/>
            <w:iCs w:val="0"/>
            <w:noProof/>
            <w:sz w:val="22"/>
            <w:szCs w:val="22"/>
            <w:lang w:eastAsia="en-GB" w:bidi="ar-SA"/>
          </w:rPr>
          <w:tab/>
        </w:r>
        <w:r w:rsidR="000F2049" w:rsidRPr="0014252F">
          <w:rPr>
            <w:rStyle w:val="Hyperlink"/>
            <w:noProof/>
          </w:rPr>
          <w:t>Food safety management tools assessed</w:t>
        </w:r>
        <w:r w:rsidR="000F2049">
          <w:rPr>
            <w:noProof/>
            <w:webHidden/>
          </w:rPr>
          <w:tab/>
        </w:r>
        <w:r w:rsidR="000F2049">
          <w:rPr>
            <w:noProof/>
            <w:webHidden/>
          </w:rPr>
          <w:fldChar w:fldCharType="begin"/>
        </w:r>
        <w:r w:rsidR="000F2049">
          <w:rPr>
            <w:noProof/>
            <w:webHidden/>
          </w:rPr>
          <w:instrText xml:space="preserve"> PAGEREF _Toc109300416 \h </w:instrText>
        </w:r>
        <w:r w:rsidR="000F2049">
          <w:rPr>
            <w:noProof/>
            <w:webHidden/>
          </w:rPr>
        </w:r>
        <w:r w:rsidR="000F2049">
          <w:rPr>
            <w:noProof/>
            <w:webHidden/>
          </w:rPr>
          <w:fldChar w:fldCharType="separate"/>
        </w:r>
        <w:r w:rsidR="00370FF0">
          <w:rPr>
            <w:noProof/>
            <w:webHidden/>
          </w:rPr>
          <w:t>11</w:t>
        </w:r>
        <w:r w:rsidR="000F2049">
          <w:rPr>
            <w:noProof/>
            <w:webHidden/>
          </w:rPr>
          <w:fldChar w:fldCharType="end"/>
        </w:r>
      </w:hyperlink>
    </w:p>
    <w:p w14:paraId="064F13D9" w14:textId="4F66543D"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17" w:history="1">
        <w:r w:rsidR="000F2049" w:rsidRPr="0014252F">
          <w:rPr>
            <w:rStyle w:val="Hyperlink"/>
            <w:noProof/>
          </w:rPr>
          <w:t>2.3.3</w:t>
        </w:r>
        <w:r w:rsidR="000F2049">
          <w:rPr>
            <w:rFonts w:eastAsiaTheme="minorEastAsia" w:cstheme="minorBidi"/>
            <w:i w:val="0"/>
            <w:iCs w:val="0"/>
            <w:noProof/>
            <w:sz w:val="22"/>
            <w:szCs w:val="22"/>
            <w:lang w:eastAsia="en-GB" w:bidi="ar-SA"/>
          </w:rPr>
          <w:tab/>
        </w:r>
        <w:r w:rsidR="000F2049" w:rsidRPr="0014252F">
          <w:rPr>
            <w:rStyle w:val="Hyperlink"/>
            <w:noProof/>
          </w:rPr>
          <w:t>Not-for-profit organisations and fund</w:t>
        </w:r>
        <w:r w:rsidR="00C15CA9">
          <w:rPr>
            <w:rStyle w:val="Hyperlink"/>
            <w:noProof/>
          </w:rPr>
          <w:t xml:space="preserve"> </w:t>
        </w:r>
        <w:r w:rsidR="000F2049" w:rsidRPr="0014252F">
          <w:rPr>
            <w:rStyle w:val="Hyperlink"/>
            <w:noProof/>
          </w:rPr>
          <w:t>raising events</w:t>
        </w:r>
        <w:r w:rsidR="000F2049">
          <w:rPr>
            <w:noProof/>
            <w:webHidden/>
          </w:rPr>
          <w:tab/>
        </w:r>
        <w:r w:rsidR="000F2049">
          <w:rPr>
            <w:noProof/>
            <w:webHidden/>
          </w:rPr>
          <w:fldChar w:fldCharType="begin"/>
        </w:r>
        <w:r w:rsidR="000F2049">
          <w:rPr>
            <w:noProof/>
            <w:webHidden/>
          </w:rPr>
          <w:instrText xml:space="preserve"> PAGEREF _Toc109300417 \h </w:instrText>
        </w:r>
        <w:r w:rsidR="000F2049">
          <w:rPr>
            <w:noProof/>
            <w:webHidden/>
          </w:rPr>
        </w:r>
        <w:r w:rsidR="000F2049">
          <w:rPr>
            <w:noProof/>
            <w:webHidden/>
          </w:rPr>
          <w:fldChar w:fldCharType="separate"/>
        </w:r>
        <w:r w:rsidR="00370FF0">
          <w:rPr>
            <w:noProof/>
            <w:webHidden/>
          </w:rPr>
          <w:t>12</w:t>
        </w:r>
        <w:r w:rsidR="000F2049">
          <w:rPr>
            <w:noProof/>
            <w:webHidden/>
          </w:rPr>
          <w:fldChar w:fldCharType="end"/>
        </w:r>
      </w:hyperlink>
    </w:p>
    <w:p w14:paraId="22B90D07" w14:textId="48A0A310"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18" w:history="1">
        <w:r w:rsidR="000F2049" w:rsidRPr="0014252F">
          <w:rPr>
            <w:rStyle w:val="Hyperlink"/>
            <w:noProof/>
          </w:rPr>
          <w:t>2.3.4</w:t>
        </w:r>
        <w:r w:rsidR="000F2049">
          <w:rPr>
            <w:rFonts w:eastAsiaTheme="minorEastAsia" w:cstheme="minorBidi"/>
            <w:i w:val="0"/>
            <w:iCs w:val="0"/>
            <w:noProof/>
            <w:sz w:val="22"/>
            <w:szCs w:val="22"/>
            <w:lang w:eastAsia="en-GB" w:bidi="ar-SA"/>
          </w:rPr>
          <w:tab/>
        </w:r>
        <w:r w:rsidR="000F2049" w:rsidRPr="0014252F">
          <w:rPr>
            <w:rStyle w:val="Hyperlink"/>
            <w:noProof/>
          </w:rPr>
          <w:t>Risk management options</w:t>
        </w:r>
        <w:r w:rsidR="000F2049">
          <w:rPr>
            <w:noProof/>
            <w:webHidden/>
          </w:rPr>
          <w:tab/>
        </w:r>
        <w:r w:rsidR="000F2049">
          <w:rPr>
            <w:noProof/>
            <w:webHidden/>
          </w:rPr>
          <w:fldChar w:fldCharType="begin"/>
        </w:r>
        <w:r w:rsidR="000F2049">
          <w:rPr>
            <w:noProof/>
            <w:webHidden/>
          </w:rPr>
          <w:instrText xml:space="preserve"> PAGEREF _Toc109300418 \h </w:instrText>
        </w:r>
        <w:r w:rsidR="000F2049">
          <w:rPr>
            <w:noProof/>
            <w:webHidden/>
          </w:rPr>
        </w:r>
        <w:r w:rsidR="000F2049">
          <w:rPr>
            <w:noProof/>
            <w:webHidden/>
          </w:rPr>
          <w:fldChar w:fldCharType="separate"/>
        </w:r>
        <w:r w:rsidR="00370FF0">
          <w:rPr>
            <w:noProof/>
            <w:webHidden/>
          </w:rPr>
          <w:t>13</w:t>
        </w:r>
        <w:r w:rsidR="000F2049">
          <w:rPr>
            <w:noProof/>
            <w:webHidden/>
          </w:rPr>
          <w:fldChar w:fldCharType="end"/>
        </w:r>
      </w:hyperlink>
    </w:p>
    <w:p w14:paraId="30358AEE" w14:textId="6FFC2544"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19" w:history="1">
        <w:r w:rsidR="000F2049" w:rsidRPr="0014252F">
          <w:rPr>
            <w:rStyle w:val="Hyperlink"/>
            <w:noProof/>
          </w:rPr>
          <w:t>2.4</w:t>
        </w:r>
        <w:r w:rsidR="000F2049">
          <w:rPr>
            <w:rFonts w:eastAsiaTheme="minorEastAsia" w:cstheme="minorBidi"/>
            <w:smallCaps w:val="0"/>
            <w:noProof/>
            <w:sz w:val="22"/>
            <w:szCs w:val="22"/>
            <w:lang w:eastAsia="en-GB" w:bidi="ar-SA"/>
          </w:rPr>
          <w:tab/>
        </w:r>
        <w:r w:rsidR="000F2049" w:rsidRPr="0014252F">
          <w:rPr>
            <w:rStyle w:val="Hyperlink"/>
            <w:noProof/>
          </w:rPr>
          <w:t>Preferred approach and rationale</w:t>
        </w:r>
        <w:r w:rsidR="000F2049">
          <w:rPr>
            <w:noProof/>
            <w:webHidden/>
          </w:rPr>
          <w:tab/>
        </w:r>
        <w:r w:rsidR="000F2049">
          <w:rPr>
            <w:noProof/>
            <w:webHidden/>
          </w:rPr>
          <w:fldChar w:fldCharType="begin"/>
        </w:r>
        <w:r w:rsidR="000F2049">
          <w:rPr>
            <w:noProof/>
            <w:webHidden/>
          </w:rPr>
          <w:instrText xml:space="preserve"> PAGEREF _Toc109300419 \h </w:instrText>
        </w:r>
        <w:r w:rsidR="000F2049">
          <w:rPr>
            <w:noProof/>
            <w:webHidden/>
          </w:rPr>
        </w:r>
        <w:r w:rsidR="000F2049">
          <w:rPr>
            <w:noProof/>
            <w:webHidden/>
          </w:rPr>
          <w:fldChar w:fldCharType="separate"/>
        </w:r>
        <w:r w:rsidR="00370FF0">
          <w:rPr>
            <w:noProof/>
            <w:webHidden/>
          </w:rPr>
          <w:t>14</w:t>
        </w:r>
        <w:r w:rsidR="000F2049">
          <w:rPr>
            <w:noProof/>
            <w:webHidden/>
          </w:rPr>
          <w:fldChar w:fldCharType="end"/>
        </w:r>
      </w:hyperlink>
    </w:p>
    <w:p w14:paraId="111F8795" w14:textId="11EC5FB5"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20" w:history="1">
        <w:r w:rsidR="000F2049" w:rsidRPr="0014252F">
          <w:rPr>
            <w:rStyle w:val="Hyperlink"/>
            <w:noProof/>
          </w:rPr>
          <w:t>2.4.1</w:t>
        </w:r>
        <w:r w:rsidR="000F2049">
          <w:rPr>
            <w:rFonts w:eastAsiaTheme="minorEastAsia" w:cstheme="minorBidi"/>
            <w:i w:val="0"/>
            <w:iCs w:val="0"/>
            <w:noProof/>
            <w:sz w:val="22"/>
            <w:szCs w:val="22"/>
            <w:lang w:eastAsia="en-GB" w:bidi="ar-SA"/>
          </w:rPr>
          <w:tab/>
        </w:r>
        <w:r w:rsidR="000F2049" w:rsidRPr="0014252F">
          <w:rPr>
            <w:rStyle w:val="Hyperlink"/>
            <w:noProof/>
          </w:rPr>
          <w:t>Graduated approach enabling risk proportionate regulation</w:t>
        </w:r>
        <w:r w:rsidR="000F2049">
          <w:rPr>
            <w:noProof/>
            <w:webHidden/>
          </w:rPr>
          <w:tab/>
        </w:r>
        <w:r w:rsidR="000F2049">
          <w:rPr>
            <w:noProof/>
            <w:webHidden/>
          </w:rPr>
          <w:fldChar w:fldCharType="begin"/>
        </w:r>
        <w:r w:rsidR="000F2049">
          <w:rPr>
            <w:noProof/>
            <w:webHidden/>
          </w:rPr>
          <w:instrText xml:space="preserve"> PAGEREF _Toc109300420 \h </w:instrText>
        </w:r>
        <w:r w:rsidR="000F2049">
          <w:rPr>
            <w:noProof/>
            <w:webHidden/>
          </w:rPr>
        </w:r>
        <w:r w:rsidR="000F2049">
          <w:rPr>
            <w:noProof/>
            <w:webHidden/>
          </w:rPr>
          <w:fldChar w:fldCharType="separate"/>
        </w:r>
        <w:r w:rsidR="00370FF0">
          <w:rPr>
            <w:noProof/>
            <w:webHidden/>
          </w:rPr>
          <w:t>14</w:t>
        </w:r>
        <w:r w:rsidR="000F2049">
          <w:rPr>
            <w:noProof/>
            <w:webHidden/>
          </w:rPr>
          <w:fldChar w:fldCharType="end"/>
        </w:r>
      </w:hyperlink>
    </w:p>
    <w:p w14:paraId="01A11EAC" w14:textId="55DB5B26"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21" w:history="1">
        <w:r w:rsidR="000F2049" w:rsidRPr="0014252F">
          <w:rPr>
            <w:rStyle w:val="Hyperlink"/>
            <w:noProof/>
          </w:rPr>
          <w:t>2.4.2</w:t>
        </w:r>
        <w:r w:rsidR="000F2049">
          <w:rPr>
            <w:rFonts w:eastAsiaTheme="minorEastAsia" w:cstheme="minorBidi"/>
            <w:i w:val="0"/>
            <w:iCs w:val="0"/>
            <w:noProof/>
            <w:sz w:val="22"/>
            <w:szCs w:val="22"/>
            <w:lang w:eastAsia="en-GB" w:bidi="ar-SA"/>
          </w:rPr>
          <w:tab/>
        </w:r>
        <w:r w:rsidR="000F2049" w:rsidRPr="0014252F">
          <w:rPr>
            <w:rStyle w:val="Hyperlink"/>
            <w:noProof/>
          </w:rPr>
          <w:t>Finalising the risk management approach</w:t>
        </w:r>
        <w:r w:rsidR="000F2049">
          <w:rPr>
            <w:noProof/>
            <w:webHidden/>
          </w:rPr>
          <w:tab/>
        </w:r>
        <w:r w:rsidR="000F2049">
          <w:rPr>
            <w:noProof/>
            <w:webHidden/>
          </w:rPr>
          <w:fldChar w:fldCharType="begin"/>
        </w:r>
        <w:r w:rsidR="000F2049">
          <w:rPr>
            <w:noProof/>
            <w:webHidden/>
          </w:rPr>
          <w:instrText xml:space="preserve"> PAGEREF _Toc109300421 \h </w:instrText>
        </w:r>
        <w:r w:rsidR="000F2049">
          <w:rPr>
            <w:noProof/>
            <w:webHidden/>
          </w:rPr>
        </w:r>
        <w:r w:rsidR="000F2049">
          <w:rPr>
            <w:noProof/>
            <w:webHidden/>
          </w:rPr>
          <w:fldChar w:fldCharType="separate"/>
        </w:r>
        <w:r w:rsidR="00370FF0">
          <w:rPr>
            <w:noProof/>
            <w:webHidden/>
          </w:rPr>
          <w:t>15</w:t>
        </w:r>
        <w:r w:rsidR="000F2049">
          <w:rPr>
            <w:noProof/>
            <w:webHidden/>
          </w:rPr>
          <w:fldChar w:fldCharType="end"/>
        </w:r>
      </w:hyperlink>
    </w:p>
    <w:p w14:paraId="1D226129" w14:textId="75997352"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22" w:history="1">
        <w:r w:rsidR="000F2049" w:rsidRPr="0014252F">
          <w:rPr>
            <w:rStyle w:val="Hyperlink"/>
            <w:noProof/>
          </w:rPr>
          <w:t>2.5</w:t>
        </w:r>
        <w:r w:rsidR="000F2049">
          <w:rPr>
            <w:rFonts w:eastAsiaTheme="minorEastAsia" w:cstheme="minorBidi"/>
            <w:smallCaps w:val="0"/>
            <w:noProof/>
            <w:sz w:val="22"/>
            <w:szCs w:val="22"/>
            <w:lang w:eastAsia="en-GB" w:bidi="ar-SA"/>
          </w:rPr>
          <w:tab/>
        </w:r>
        <w:r w:rsidR="000F2049" w:rsidRPr="0014252F">
          <w:rPr>
            <w:rStyle w:val="Hyperlink"/>
            <w:noProof/>
          </w:rPr>
          <w:t>Risk communication</w:t>
        </w:r>
        <w:r w:rsidR="000F2049">
          <w:rPr>
            <w:noProof/>
            <w:webHidden/>
          </w:rPr>
          <w:tab/>
        </w:r>
        <w:r w:rsidR="000F2049">
          <w:rPr>
            <w:noProof/>
            <w:webHidden/>
          </w:rPr>
          <w:fldChar w:fldCharType="begin"/>
        </w:r>
        <w:r w:rsidR="000F2049">
          <w:rPr>
            <w:noProof/>
            <w:webHidden/>
          </w:rPr>
          <w:instrText xml:space="preserve"> PAGEREF _Toc109300422 \h </w:instrText>
        </w:r>
        <w:r w:rsidR="000F2049">
          <w:rPr>
            <w:noProof/>
            <w:webHidden/>
          </w:rPr>
        </w:r>
        <w:r w:rsidR="000F2049">
          <w:rPr>
            <w:noProof/>
            <w:webHidden/>
          </w:rPr>
          <w:fldChar w:fldCharType="separate"/>
        </w:r>
        <w:r w:rsidR="00370FF0">
          <w:rPr>
            <w:noProof/>
            <w:webHidden/>
          </w:rPr>
          <w:t>15</w:t>
        </w:r>
        <w:r w:rsidR="000F2049">
          <w:rPr>
            <w:noProof/>
            <w:webHidden/>
          </w:rPr>
          <w:fldChar w:fldCharType="end"/>
        </w:r>
      </w:hyperlink>
    </w:p>
    <w:p w14:paraId="4AF62FF8" w14:textId="1FCE9B21"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23" w:history="1">
        <w:r w:rsidR="000F2049" w:rsidRPr="0014252F">
          <w:rPr>
            <w:rStyle w:val="Hyperlink"/>
            <w:noProof/>
          </w:rPr>
          <w:t>2.5.1</w:t>
        </w:r>
        <w:r w:rsidR="000F2049">
          <w:rPr>
            <w:rFonts w:eastAsiaTheme="minorEastAsia" w:cstheme="minorBidi"/>
            <w:i w:val="0"/>
            <w:iCs w:val="0"/>
            <w:noProof/>
            <w:sz w:val="22"/>
            <w:szCs w:val="22"/>
            <w:lang w:eastAsia="en-GB" w:bidi="ar-SA"/>
          </w:rPr>
          <w:tab/>
        </w:r>
        <w:r w:rsidR="000F2049" w:rsidRPr="0014252F">
          <w:rPr>
            <w:rStyle w:val="Hyperlink"/>
            <w:noProof/>
          </w:rPr>
          <w:t>Public consultation</w:t>
        </w:r>
        <w:r w:rsidR="000F2049">
          <w:rPr>
            <w:noProof/>
            <w:webHidden/>
          </w:rPr>
          <w:tab/>
        </w:r>
        <w:r w:rsidR="000F2049">
          <w:rPr>
            <w:noProof/>
            <w:webHidden/>
          </w:rPr>
          <w:fldChar w:fldCharType="begin"/>
        </w:r>
        <w:r w:rsidR="000F2049">
          <w:rPr>
            <w:noProof/>
            <w:webHidden/>
          </w:rPr>
          <w:instrText xml:space="preserve"> PAGEREF _Toc109300423 \h </w:instrText>
        </w:r>
        <w:r w:rsidR="000F2049">
          <w:rPr>
            <w:noProof/>
            <w:webHidden/>
          </w:rPr>
        </w:r>
        <w:r w:rsidR="000F2049">
          <w:rPr>
            <w:noProof/>
            <w:webHidden/>
          </w:rPr>
          <w:fldChar w:fldCharType="separate"/>
        </w:r>
        <w:r w:rsidR="00370FF0">
          <w:rPr>
            <w:noProof/>
            <w:webHidden/>
          </w:rPr>
          <w:t>15</w:t>
        </w:r>
        <w:r w:rsidR="000F2049">
          <w:rPr>
            <w:noProof/>
            <w:webHidden/>
          </w:rPr>
          <w:fldChar w:fldCharType="end"/>
        </w:r>
      </w:hyperlink>
    </w:p>
    <w:p w14:paraId="619B2CC6" w14:textId="3935C22A"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24" w:history="1">
        <w:r w:rsidR="000F2049" w:rsidRPr="0014252F">
          <w:rPr>
            <w:rStyle w:val="Hyperlink"/>
            <w:noProof/>
          </w:rPr>
          <w:t>2.5.2</w:t>
        </w:r>
        <w:r w:rsidR="000F2049">
          <w:rPr>
            <w:rFonts w:eastAsiaTheme="minorEastAsia" w:cstheme="minorBidi"/>
            <w:i w:val="0"/>
            <w:iCs w:val="0"/>
            <w:noProof/>
            <w:sz w:val="22"/>
            <w:szCs w:val="22"/>
            <w:lang w:eastAsia="en-GB" w:bidi="ar-SA"/>
          </w:rPr>
          <w:tab/>
        </w:r>
        <w:r w:rsidR="000F2049" w:rsidRPr="0014252F">
          <w:rPr>
            <w:rStyle w:val="Hyperlink"/>
            <w:noProof/>
          </w:rPr>
          <w:t>Working with regulators</w:t>
        </w:r>
        <w:r w:rsidR="000F2049">
          <w:rPr>
            <w:noProof/>
            <w:webHidden/>
          </w:rPr>
          <w:tab/>
        </w:r>
        <w:r w:rsidR="000F2049">
          <w:rPr>
            <w:noProof/>
            <w:webHidden/>
          </w:rPr>
          <w:fldChar w:fldCharType="begin"/>
        </w:r>
        <w:r w:rsidR="000F2049">
          <w:rPr>
            <w:noProof/>
            <w:webHidden/>
          </w:rPr>
          <w:instrText xml:space="preserve"> PAGEREF _Toc109300424 \h </w:instrText>
        </w:r>
        <w:r w:rsidR="000F2049">
          <w:rPr>
            <w:noProof/>
            <w:webHidden/>
          </w:rPr>
        </w:r>
        <w:r w:rsidR="000F2049">
          <w:rPr>
            <w:noProof/>
            <w:webHidden/>
          </w:rPr>
          <w:fldChar w:fldCharType="separate"/>
        </w:r>
        <w:r w:rsidR="00370FF0">
          <w:rPr>
            <w:noProof/>
            <w:webHidden/>
          </w:rPr>
          <w:t>16</w:t>
        </w:r>
        <w:r w:rsidR="000F2049">
          <w:rPr>
            <w:noProof/>
            <w:webHidden/>
          </w:rPr>
          <w:fldChar w:fldCharType="end"/>
        </w:r>
      </w:hyperlink>
    </w:p>
    <w:p w14:paraId="19118AD6" w14:textId="22CFA9CC"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25" w:history="1">
        <w:r w:rsidR="000F2049" w:rsidRPr="0014252F">
          <w:rPr>
            <w:rStyle w:val="Hyperlink"/>
            <w:noProof/>
          </w:rPr>
          <w:t>2.5.3</w:t>
        </w:r>
        <w:r w:rsidR="000F2049">
          <w:rPr>
            <w:rFonts w:eastAsiaTheme="minorEastAsia" w:cstheme="minorBidi"/>
            <w:i w:val="0"/>
            <w:iCs w:val="0"/>
            <w:noProof/>
            <w:sz w:val="22"/>
            <w:szCs w:val="22"/>
            <w:lang w:eastAsia="en-GB" w:bidi="ar-SA"/>
          </w:rPr>
          <w:tab/>
        </w:r>
        <w:r w:rsidR="000F2049" w:rsidRPr="0014252F">
          <w:rPr>
            <w:rStyle w:val="Hyperlink"/>
            <w:noProof/>
          </w:rPr>
          <w:t>World Trade organisation</w:t>
        </w:r>
        <w:r w:rsidR="000F2049">
          <w:rPr>
            <w:noProof/>
            <w:webHidden/>
          </w:rPr>
          <w:tab/>
        </w:r>
        <w:r w:rsidR="000F2049">
          <w:rPr>
            <w:noProof/>
            <w:webHidden/>
          </w:rPr>
          <w:fldChar w:fldCharType="begin"/>
        </w:r>
        <w:r w:rsidR="000F2049">
          <w:rPr>
            <w:noProof/>
            <w:webHidden/>
          </w:rPr>
          <w:instrText xml:space="preserve"> PAGEREF _Toc109300425 \h </w:instrText>
        </w:r>
        <w:r w:rsidR="000F2049">
          <w:rPr>
            <w:noProof/>
            <w:webHidden/>
          </w:rPr>
        </w:r>
        <w:r w:rsidR="000F2049">
          <w:rPr>
            <w:noProof/>
            <w:webHidden/>
          </w:rPr>
          <w:fldChar w:fldCharType="separate"/>
        </w:r>
        <w:r w:rsidR="00370FF0">
          <w:rPr>
            <w:noProof/>
            <w:webHidden/>
          </w:rPr>
          <w:t>16</w:t>
        </w:r>
        <w:r w:rsidR="000F2049">
          <w:rPr>
            <w:noProof/>
            <w:webHidden/>
          </w:rPr>
          <w:fldChar w:fldCharType="end"/>
        </w:r>
      </w:hyperlink>
    </w:p>
    <w:p w14:paraId="51080497" w14:textId="2608FEB4" w:rsidR="000F2049" w:rsidRDefault="00266CCA">
      <w:pPr>
        <w:pStyle w:val="TOC2"/>
        <w:tabs>
          <w:tab w:val="left" w:pos="880"/>
          <w:tab w:val="right" w:leader="dot" w:pos="9016"/>
        </w:tabs>
        <w:rPr>
          <w:rFonts w:eastAsiaTheme="minorEastAsia" w:cstheme="minorBidi"/>
          <w:smallCaps w:val="0"/>
          <w:noProof/>
          <w:sz w:val="22"/>
          <w:szCs w:val="22"/>
          <w:lang w:eastAsia="en-GB" w:bidi="ar-SA"/>
        </w:rPr>
      </w:pPr>
      <w:hyperlink w:anchor="_Toc109300426" w:history="1">
        <w:r w:rsidR="000F2049" w:rsidRPr="0014252F">
          <w:rPr>
            <w:rStyle w:val="Hyperlink"/>
            <w:noProof/>
          </w:rPr>
          <w:t>2.6</w:t>
        </w:r>
        <w:r w:rsidR="000F2049">
          <w:rPr>
            <w:rFonts w:eastAsiaTheme="minorEastAsia" w:cstheme="minorBidi"/>
            <w:smallCaps w:val="0"/>
            <w:noProof/>
            <w:sz w:val="22"/>
            <w:szCs w:val="22"/>
            <w:lang w:eastAsia="en-GB" w:bidi="ar-SA"/>
          </w:rPr>
          <w:tab/>
        </w:r>
        <w:r w:rsidR="000F2049" w:rsidRPr="0014252F">
          <w:rPr>
            <w:rStyle w:val="Hyperlink"/>
            <w:noProof/>
          </w:rPr>
          <w:t>FSANZ Act assessment requirements</w:t>
        </w:r>
        <w:r w:rsidR="000F2049">
          <w:rPr>
            <w:noProof/>
            <w:webHidden/>
          </w:rPr>
          <w:tab/>
        </w:r>
        <w:r w:rsidR="000F2049">
          <w:rPr>
            <w:noProof/>
            <w:webHidden/>
          </w:rPr>
          <w:fldChar w:fldCharType="begin"/>
        </w:r>
        <w:r w:rsidR="000F2049">
          <w:rPr>
            <w:noProof/>
            <w:webHidden/>
          </w:rPr>
          <w:instrText xml:space="preserve"> PAGEREF _Toc109300426 \h </w:instrText>
        </w:r>
        <w:r w:rsidR="000F2049">
          <w:rPr>
            <w:noProof/>
            <w:webHidden/>
          </w:rPr>
        </w:r>
        <w:r w:rsidR="000F2049">
          <w:rPr>
            <w:noProof/>
            <w:webHidden/>
          </w:rPr>
          <w:fldChar w:fldCharType="separate"/>
        </w:r>
        <w:r w:rsidR="00370FF0">
          <w:rPr>
            <w:noProof/>
            <w:webHidden/>
          </w:rPr>
          <w:t>16</w:t>
        </w:r>
        <w:r w:rsidR="000F2049">
          <w:rPr>
            <w:noProof/>
            <w:webHidden/>
          </w:rPr>
          <w:fldChar w:fldCharType="end"/>
        </w:r>
      </w:hyperlink>
    </w:p>
    <w:p w14:paraId="3BA4EE52" w14:textId="61F3BAF1"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27" w:history="1">
        <w:r w:rsidR="000F2049" w:rsidRPr="0014252F">
          <w:rPr>
            <w:rStyle w:val="Hyperlink"/>
            <w:noProof/>
          </w:rPr>
          <w:t>2.6.1</w:t>
        </w:r>
        <w:r w:rsidR="000F2049">
          <w:rPr>
            <w:rFonts w:eastAsiaTheme="minorEastAsia" w:cstheme="minorBidi"/>
            <w:i w:val="0"/>
            <w:iCs w:val="0"/>
            <w:noProof/>
            <w:sz w:val="22"/>
            <w:szCs w:val="22"/>
            <w:lang w:eastAsia="en-GB" w:bidi="ar-SA"/>
          </w:rPr>
          <w:tab/>
        </w:r>
        <w:r w:rsidR="000F2049" w:rsidRPr="0014252F">
          <w:rPr>
            <w:rStyle w:val="Hyperlink"/>
            <w:noProof/>
          </w:rPr>
          <w:t>Section 59</w:t>
        </w:r>
        <w:r w:rsidR="000F2049">
          <w:rPr>
            <w:noProof/>
            <w:webHidden/>
          </w:rPr>
          <w:tab/>
        </w:r>
        <w:r w:rsidR="000F2049">
          <w:rPr>
            <w:noProof/>
            <w:webHidden/>
          </w:rPr>
          <w:fldChar w:fldCharType="begin"/>
        </w:r>
        <w:r w:rsidR="000F2049">
          <w:rPr>
            <w:noProof/>
            <w:webHidden/>
          </w:rPr>
          <w:instrText xml:space="preserve"> PAGEREF _Toc109300427 \h </w:instrText>
        </w:r>
        <w:r w:rsidR="000F2049">
          <w:rPr>
            <w:noProof/>
            <w:webHidden/>
          </w:rPr>
        </w:r>
        <w:r w:rsidR="000F2049">
          <w:rPr>
            <w:noProof/>
            <w:webHidden/>
          </w:rPr>
          <w:fldChar w:fldCharType="separate"/>
        </w:r>
        <w:r w:rsidR="00370FF0">
          <w:rPr>
            <w:noProof/>
            <w:webHidden/>
          </w:rPr>
          <w:t>16</w:t>
        </w:r>
        <w:r w:rsidR="000F2049">
          <w:rPr>
            <w:noProof/>
            <w:webHidden/>
          </w:rPr>
          <w:fldChar w:fldCharType="end"/>
        </w:r>
      </w:hyperlink>
    </w:p>
    <w:p w14:paraId="415794FC" w14:textId="64AAF489"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28" w:history="1">
        <w:r w:rsidR="000F2049" w:rsidRPr="0014252F">
          <w:rPr>
            <w:rStyle w:val="Hyperlink"/>
            <w:noProof/>
          </w:rPr>
          <w:t>2.6.2</w:t>
        </w:r>
        <w:r w:rsidR="000F2049">
          <w:rPr>
            <w:rFonts w:eastAsiaTheme="minorEastAsia" w:cstheme="minorBidi"/>
            <w:i w:val="0"/>
            <w:iCs w:val="0"/>
            <w:noProof/>
            <w:sz w:val="22"/>
            <w:szCs w:val="22"/>
            <w:lang w:eastAsia="en-GB" w:bidi="ar-SA"/>
          </w:rPr>
          <w:tab/>
        </w:r>
        <w:r w:rsidR="000F2049" w:rsidRPr="0014252F">
          <w:rPr>
            <w:rStyle w:val="Hyperlink"/>
            <w:noProof/>
          </w:rPr>
          <w:t>Subsection 18(1)</w:t>
        </w:r>
        <w:r w:rsidR="000F2049">
          <w:rPr>
            <w:noProof/>
            <w:webHidden/>
          </w:rPr>
          <w:tab/>
        </w:r>
        <w:r w:rsidR="000F2049">
          <w:rPr>
            <w:noProof/>
            <w:webHidden/>
          </w:rPr>
          <w:fldChar w:fldCharType="begin"/>
        </w:r>
        <w:r w:rsidR="000F2049">
          <w:rPr>
            <w:noProof/>
            <w:webHidden/>
          </w:rPr>
          <w:instrText xml:space="preserve"> PAGEREF _Toc109300428 \h </w:instrText>
        </w:r>
        <w:r w:rsidR="000F2049">
          <w:rPr>
            <w:noProof/>
            <w:webHidden/>
          </w:rPr>
        </w:r>
        <w:r w:rsidR="000F2049">
          <w:rPr>
            <w:noProof/>
            <w:webHidden/>
          </w:rPr>
          <w:fldChar w:fldCharType="separate"/>
        </w:r>
        <w:r w:rsidR="00370FF0">
          <w:rPr>
            <w:noProof/>
            <w:webHidden/>
          </w:rPr>
          <w:t>18</w:t>
        </w:r>
        <w:r w:rsidR="000F2049">
          <w:rPr>
            <w:noProof/>
            <w:webHidden/>
          </w:rPr>
          <w:fldChar w:fldCharType="end"/>
        </w:r>
      </w:hyperlink>
    </w:p>
    <w:p w14:paraId="57FB4F2D" w14:textId="37A05C7E" w:rsidR="000F2049" w:rsidRDefault="00266CCA">
      <w:pPr>
        <w:pStyle w:val="TOC3"/>
        <w:tabs>
          <w:tab w:val="left" w:pos="1100"/>
          <w:tab w:val="right" w:leader="dot" w:pos="9016"/>
        </w:tabs>
        <w:rPr>
          <w:rFonts w:eastAsiaTheme="minorEastAsia" w:cstheme="minorBidi"/>
          <w:i w:val="0"/>
          <w:iCs w:val="0"/>
          <w:noProof/>
          <w:sz w:val="22"/>
          <w:szCs w:val="22"/>
          <w:lang w:eastAsia="en-GB" w:bidi="ar-SA"/>
        </w:rPr>
      </w:pPr>
      <w:hyperlink w:anchor="_Toc109300429" w:history="1">
        <w:r w:rsidR="000F2049" w:rsidRPr="0014252F">
          <w:rPr>
            <w:rStyle w:val="Hyperlink"/>
            <w:noProof/>
          </w:rPr>
          <w:t>2.6.3</w:t>
        </w:r>
        <w:r w:rsidR="000F2049">
          <w:rPr>
            <w:rFonts w:eastAsiaTheme="minorEastAsia" w:cstheme="minorBidi"/>
            <w:i w:val="0"/>
            <w:iCs w:val="0"/>
            <w:noProof/>
            <w:sz w:val="22"/>
            <w:szCs w:val="22"/>
            <w:lang w:eastAsia="en-GB" w:bidi="ar-SA"/>
          </w:rPr>
          <w:tab/>
        </w:r>
        <w:r w:rsidR="000F2049" w:rsidRPr="0014252F">
          <w:rPr>
            <w:rStyle w:val="Hyperlink"/>
            <w:noProof/>
          </w:rPr>
          <w:t>Subsection 18(2) considerations</w:t>
        </w:r>
        <w:r w:rsidR="000F2049">
          <w:rPr>
            <w:noProof/>
            <w:webHidden/>
          </w:rPr>
          <w:tab/>
        </w:r>
        <w:r w:rsidR="000F2049">
          <w:rPr>
            <w:noProof/>
            <w:webHidden/>
          </w:rPr>
          <w:fldChar w:fldCharType="begin"/>
        </w:r>
        <w:r w:rsidR="000F2049">
          <w:rPr>
            <w:noProof/>
            <w:webHidden/>
          </w:rPr>
          <w:instrText xml:space="preserve"> PAGEREF _Toc109300429 \h </w:instrText>
        </w:r>
        <w:r w:rsidR="000F2049">
          <w:rPr>
            <w:noProof/>
            <w:webHidden/>
          </w:rPr>
        </w:r>
        <w:r w:rsidR="000F2049">
          <w:rPr>
            <w:noProof/>
            <w:webHidden/>
          </w:rPr>
          <w:fldChar w:fldCharType="separate"/>
        </w:r>
        <w:r w:rsidR="00370FF0">
          <w:rPr>
            <w:noProof/>
            <w:webHidden/>
          </w:rPr>
          <w:t>19</w:t>
        </w:r>
        <w:r w:rsidR="000F2049">
          <w:rPr>
            <w:noProof/>
            <w:webHidden/>
          </w:rPr>
          <w:fldChar w:fldCharType="end"/>
        </w:r>
      </w:hyperlink>
    </w:p>
    <w:p w14:paraId="5F196410" w14:textId="5C33D264" w:rsidR="000F2049" w:rsidRDefault="00266CCA">
      <w:pPr>
        <w:pStyle w:val="TOC1"/>
        <w:tabs>
          <w:tab w:val="left" w:pos="440"/>
          <w:tab w:val="right" w:leader="dot" w:pos="9016"/>
        </w:tabs>
        <w:rPr>
          <w:rFonts w:eastAsiaTheme="minorEastAsia" w:cstheme="minorBidi"/>
          <w:b w:val="0"/>
          <w:bCs w:val="0"/>
          <w:caps w:val="0"/>
          <w:noProof/>
          <w:sz w:val="22"/>
          <w:szCs w:val="22"/>
          <w:lang w:eastAsia="en-GB" w:bidi="ar-SA"/>
        </w:rPr>
      </w:pPr>
      <w:hyperlink w:anchor="_Toc109300430" w:history="1">
        <w:r w:rsidR="000F2049" w:rsidRPr="0014252F">
          <w:rPr>
            <w:rStyle w:val="Hyperlink"/>
            <w:noProof/>
          </w:rPr>
          <w:t>3</w:t>
        </w:r>
        <w:r w:rsidR="000F2049">
          <w:rPr>
            <w:rFonts w:eastAsiaTheme="minorEastAsia" w:cstheme="minorBidi"/>
            <w:b w:val="0"/>
            <w:bCs w:val="0"/>
            <w:caps w:val="0"/>
            <w:noProof/>
            <w:sz w:val="22"/>
            <w:szCs w:val="22"/>
            <w:lang w:eastAsia="en-GB" w:bidi="ar-SA"/>
          </w:rPr>
          <w:tab/>
        </w:r>
        <w:r w:rsidR="000F2049" w:rsidRPr="0014252F">
          <w:rPr>
            <w:rStyle w:val="Hyperlink"/>
            <w:noProof/>
          </w:rPr>
          <w:t>Transitional arrangements</w:t>
        </w:r>
        <w:r w:rsidR="000F2049">
          <w:rPr>
            <w:noProof/>
            <w:webHidden/>
          </w:rPr>
          <w:tab/>
        </w:r>
        <w:r w:rsidR="000F2049">
          <w:rPr>
            <w:noProof/>
            <w:webHidden/>
          </w:rPr>
          <w:fldChar w:fldCharType="begin"/>
        </w:r>
        <w:r w:rsidR="000F2049">
          <w:rPr>
            <w:noProof/>
            <w:webHidden/>
          </w:rPr>
          <w:instrText xml:space="preserve"> PAGEREF _Toc109300430 \h </w:instrText>
        </w:r>
        <w:r w:rsidR="000F2049">
          <w:rPr>
            <w:noProof/>
            <w:webHidden/>
          </w:rPr>
        </w:r>
        <w:r w:rsidR="000F2049">
          <w:rPr>
            <w:noProof/>
            <w:webHidden/>
          </w:rPr>
          <w:fldChar w:fldCharType="separate"/>
        </w:r>
        <w:r w:rsidR="00370FF0">
          <w:rPr>
            <w:noProof/>
            <w:webHidden/>
          </w:rPr>
          <w:t>20</w:t>
        </w:r>
        <w:r w:rsidR="000F2049">
          <w:rPr>
            <w:noProof/>
            <w:webHidden/>
          </w:rPr>
          <w:fldChar w:fldCharType="end"/>
        </w:r>
      </w:hyperlink>
    </w:p>
    <w:p w14:paraId="6C20972C" w14:textId="6F179077" w:rsidR="000F2049" w:rsidRDefault="00266CCA">
      <w:pPr>
        <w:pStyle w:val="TOC1"/>
        <w:tabs>
          <w:tab w:val="left" w:pos="440"/>
          <w:tab w:val="right" w:leader="dot" w:pos="9016"/>
        </w:tabs>
        <w:rPr>
          <w:rFonts w:eastAsiaTheme="minorEastAsia" w:cstheme="minorBidi"/>
          <w:b w:val="0"/>
          <w:bCs w:val="0"/>
          <w:caps w:val="0"/>
          <w:noProof/>
          <w:sz w:val="22"/>
          <w:szCs w:val="22"/>
          <w:lang w:eastAsia="en-GB" w:bidi="ar-SA"/>
        </w:rPr>
      </w:pPr>
      <w:hyperlink w:anchor="_Toc109300431" w:history="1">
        <w:r w:rsidR="000F2049" w:rsidRPr="0014252F">
          <w:rPr>
            <w:rStyle w:val="Hyperlink"/>
            <w:noProof/>
          </w:rPr>
          <w:t>4</w:t>
        </w:r>
        <w:r w:rsidR="000F2049">
          <w:rPr>
            <w:rFonts w:eastAsiaTheme="minorEastAsia" w:cstheme="minorBidi"/>
            <w:b w:val="0"/>
            <w:bCs w:val="0"/>
            <w:caps w:val="0"/>
            <w:noProof/>
            <w:sz w:val="22"/>
            <w:szCs w:val="22"/>
            <w:lang w:eastAsia="en-GB" w:bidi="ar-SA"/>
          </w:rPr>
          <w:tab/>
        </w:r>
        <w:r w:rsidR="000F2049" w:rsidRPr="0014252F">
          <w:rPr>
            <w:rStyle w:val="Hyperlink"/>
            <w:noProof/>
          </w:rPr>
          <w:t>Implementation</w:t>
        </w:r>
        <w:r w:rsidR="000F2049">
          <w:rPr>
            <w:noProof/>
            <w:webHidden/>
          </w:rPr>
          <w:tab/>
        </w:r>
        <w:r w:rsidR="000F2049">
          <w:rPr>
            <w:noProof/>
            <w:webHidden/>
          </w:rPr>
          <w:fldChar w:fldCharType="begin"/>
        </w:r>
        <w:r w:rsidR="000F2049">
          <w:rPr>
            <w:noProof/>
            <w:webHidden/>
          </w:rPr>
          <w:instrText xml:space="preserve"> PAGEREF _Toc109300431 \h </w:instrText>
        </w:r>
        <w:r w:rsidR="000F2049">
          <w:rPr>
            <w:noProof/>
            <w:webHidden/>
          </w:rPr>
        </w:r>
        <w:r w:rsidR="000F2049">
          <w:rPr>
            <w:noProof/>
            <w:webHidden/>
          </w:rPr>
          <w:fldChar w:fldCharType="separate"/>
        </w:r>
        <w:r w:rsidR="00370FF0">
          <w:rPr>
            <w:noProof/>
            <w:webHidden/>
          </w:rPr>
          <w:t>20</w:t>
        </w:r>
        <w:r w:rsidR="000F2049">
          <w:rPr>
            <w:noProof/>
            <w:webHidden/>
          </w:rPr>
          <w:fldChar w:fldCharType="end"/>
        </w:r>
      </w:hyperlink>
    </w:p>
    <w:p w14:paraId="39545943" w14:textId="166E9448" w:rsidR="000F2049" w:rsidRDefault="00266CCA">
      <w:pPr>
        <w:pStyle w:val="TOC1"/>
        <w:tabs>
          <w:tab w:val="left" w:pos="440"/>
          <w:tab w:val="right" w:leader="dot" w:pos="9016"/>
        </w:tabs>
        <w:rPr>
          <w:rFonts w:eastAsiaTheme="minorEastAsia" w:cstheme="minorBidi"/>
          <w:b w:val="0"/>
          <w:bCs w:val="0"/>
          <w:caps w:val="0"/>
          <w:noProof/>
          <w:sz w:val="22"/>
          <w:szCs w:val="22"/>
          <w:lang w:eastAsia="en-GB" w:bidi="ar-SA"/>
        </w:rPr>
      </w:pPr>
      <w:hyperlink w:anchor="_Toc109300432" w:history="1">
        <w:r w:rsidR="000F2049" w:rsidRPr="0014252F">
          <w:rPr>
            <w:rStyle w:val="Hyperlink"/>
            <w:noProof/>
          </w:rPr>
          <w:t>5</w:t>
        </w:r>
        <w:r w:rsidR="000F2049">
          <w:rPr>
            <w:rFonts w:eastAsiaTheme="minorEastAsia" w:cstheme="minorBidi"/>
            <w:b w:val="0"/>
            <w:bCs w:val="0"/>
            <w:caps w:val="0"/>
            <w:noProof/>
            <w:sz w:val="22"/>
            <w:szCs w:val="22"/>
            <w:lang w:eastAsia="en-GB" w:bidi="ar-SA"/>
          </w:rPr>
          <w:tab/>
        </w:r>
        <w:r w:rsidR="000F2049" w:rsidRPr="0014252F">
          <w:rPr>
            <w:rStyle w:val="Hyperlink"/>
            <w:noProof/>
          </w:rPr>
          <w:t>References</w:t>
        </w:r>
        <w:r w:rsidR="000F2049">
          <w:rPr>
            <w:noProof/>
            <w:webHidden/>
          </w:rPr>
          <w:tab/>
        </w:r>
        <w:r w:rsidR="000F2049">
          <w:rPr>
            <w:noProof/>
            <w:webHidden/>
          </w:rPr>
          <w:fldChar w:fldCharType="begin"/>
        </w:r>
        <w:r w:rsidR="000F2049">
          <w:rPr>
            <w:noProof/>
            <w:webHidden/>
          </w:rPr>
          <w:instrText xml:space="preserve"> PAGEREF _Toc109300432 \h </w:instrText>
        </w:r>
        <w:r w:rsidR="000F2049">
          <w:rPr>
            <w:noProof/>
            <w:webHidden/>
          </w:rPr>
        </w:r>
        <w:r w:rsidR="000F2049">
          <w:rPr>
            <w:noProof/>
            <w:webHidden/>
          </w:rPr>
          <w:fldChar w:fldCharType="separate"/>
        </w:r>
        <w:r w:rsidR="00370FF0">
          <w:rPr>
            <w:noProof/>
            <w:webHidden/>
          </w:rPr>
          <w:t>20</w:t>
        </w:r>
        <w:r w:rsidR="000F2049">
          <w:rPr>
            <w:noProof/>
            <w:webHidden/>
          </w:rPr>
          <w:fldChar w:fldCharType="end"/>
        </w:r>
      </w:hyperlink>
    </w:p>
    <w:p w14:paraId="07D52F44" w14:textId="1ADEBAB3" w:rsidR="000F2049" w:rsidRDefault="00266CCA">
      <w:pPr>
        <w:pStyle w:val="TOC1"/>
        <w:tabs>
          <w:tab w:val="right" w:leader="dot" w:pos="9016"/>
        </w:tabs>
        <w:rPr>
          <w:rFonts w:eastAsiaTheme="minorEastAsia" w:cstheme="minorBidi"/>
          <w:b w:val="0"/>
          <w:bCs w:val="0"/>
          <w:caps w:val="0"/>
          <w:noProof/>
          <w:sz w:val="22"/>
          <w:szCs w:val="22"/>
          <w:lang w:eastAsia="en-GB" w:bidi="ar-SA"/>
        </w:rPr>
      </w:pPr>
      <w:hyperlink w:anchor="_Toc109300434" w:history="1">
        <w:r w:rsidR="000F2049" w:rsidRPr="0014252F">
          <w:rPr>
            <w:rStyle w:val="Hyperlink"/>
            <w:rFonts w:cs="Arial"/>
            <w:noProof/>
          </w:rPr>
          <w:t>Attachment A – Approved draft variations to the Australia New Zealand Food Standards Code</w:t>
        </w:r>
        <w:r w:rsidR="000F2049">
          <w:rPr>
            <w:noProof/>
            <w:webHidden/>
          </w:rPr>
          <w:tab/>
        </w:r>
        <w:r w:rsidR="000F2049">
          <w:rPr>
            <w:noProof/>
            <w:webHidden/>
          </w:rPr>
          <w:fldChar w:fldCharType="begin"/>
        </w:r>
        <w:r w:rsidR="000F2049">
          <w:rPr>
            <w:noProof/>
            <w:webHidden/>
          </w:rPr>
          <w:instrText xml:space="preserve"> PAGEREF _Toc109300434 \h </w:instrText>
        </w:r>
        <w:r w:rsidR="000F2049">
          <w:rPr>
            <w:noProof/>
            <w:webHidden/>
          </w:rPr>
        </w:r>
        <w:r w:rsidR="000F2049">
          <w:rPr>
            <w:noProof/>
            <w:webHidden/>
          </w:rPr>
          <w:fldChar w:fldCharType="separate"/>
        </w:r>
        <w:r w:rsidR="00370FF0">
          <w:rPr>
            <w:noProof/>
            <w:webHidden/>
          </w:rPr>
          <w:t>21</w:t>
        </w:r>
        <w:r w:rsidR="000F2049">
          <w:rPr>
            <w:noProof/>
            <w:webHidden/>
          </w:rPr>
          <w:fldChar w:fldCharType="end"/>
        </w:r>
      </w:hyperlink>
    </w:p>
    <w:p w14:paraId="1882FF46" w14:textId="26358BA8" w:rsidR="000F2049" w:rsidRDefault="00266CCA">
      <w:pPr>
        <w:pStyle w:val="TOC1"/>
        <w:tabs>
          <w:tab w:val="right" w:leader="dot" w:pos="9016"/>
        </w:tabs>
        <w:rPr>
          <w:rFonts w:eastAsiaTheme="minorEastAsia" w:cstheme="minorBidi"/>
          <w:b w:val="0"/>
          <w:bCs w:val="0"/>
          <w:caps w:val="0"/>
          <w:noProof/>
          <w:sz w:val="22"/>
          <w:szCs w:val="22"/>
          <w:lang w:eastAsia="en-GB" w:bidi="ar-SA"/>
        </w:rPr>
      </w:pPr>
      <w:hyperlink w:anchor="_Toc109300435" w:history="1">
        <w:r w:rsidR="000F2049" w:rsidRPr="0014252F">
          <w:rPr>
            <w:rStyle w:val="Hyperlink"/>
            <w:rFonts w:cs="Arial"/>
            <w:noProof/>
          </w:rPr>
          <w:t>Attachment B – Explanatory Statements</w:t>
        </w:r>
        <w:r w:rsidR="000F2049">
          <w:rPr>
            <w:noProof/>
            <w:webHidden/>
          </w:rPr>
          <w:tab/>
        </w:r>
        <w:r w:rsidR="000F2049">
          <w:rPr>
            <w:noProof/>
            <w:webHidden/>
          </w:rPr>
          <w:fldChar w:fldCharType="begin"/>
        </w:r>
        <w:r w:rsidR="000F2049">
          <w:rPr>
            <w:noProof/>
            <w:webHidden/>
          </w:rPr>
          <w:instrText xml:space="preserve"> PAGEREF _Toc109300435 \h </w:instrText>
        </w:r>
        <w:r w:rsidR="000F2049">
          <w:rPr>
            <w:noProof/>
            <w:webHidden/>
          </w:rPr>
        </w:r>
        <w:r w:rsidR="000F2049">
          <w:rPr>
            <w:noProof/>
            <w:webHidden/>
          </w:rPr>
          <w:fldChar w:fldCharType="separate"/>
        </w:r>
        <w:r w:rsidR="00370FF0">
          <w:rPr>
            <w:noProof/>
            <w:webHidden/>
          </w:rPr>
          <w:t>28</w:t>
        </w:r>
        <w:r w:rsidR="000F2049">
          <w:rPr>
            <w:noProof/>
            <w:webHidden/>
          </w:rPr>
          <w:fldChar w:fldCharType="end"/>
        </w:r>
      </w:hyperlink>
    </w:p>
    <w:p w14:paraId="7487E36A" w14:textId="558C3BB9" w:rsidR="000F2049" w:rsidRDefault="00266CCA">
      <w:pPr>
        <w:pStyle w:val="TOC1"/>
        <w:tabs>
          <w:tab w:val="right" w:leader="dot" w:pos="9016"/>
        </w:tabs>
        <w:rPr>
          <w:rFonts w:eastAsiaTheme="minorEastAsia" w:cstheme="minorBidi"/>
          <w:b w:val="0"/>
          <w:bCs w:val="0"/>
          <w:caps w:val="0"/>
          <w:noProof/>
          <w:sz w:val="22"/>
          <w:szCs w:val="22"/>
          <w:lang w:eastAsia="en-GB" w:bidi="ar-SA"/>
        </w:rPr>
      </w:pPr>
      <w:hyperlink w:anchor="_Toc109300436" w:history="1">
        <w:r w:rsidR="000F2049" w:rsidRPr="0014252F">
          <w:rPr>
            <w:rStyle w:val="Hyperlink"/>
            <w:rFonts w:cs="Arial"/>
            <w:noProof/>
          </w:rPr>
          <w:t>Attachment C – Regulation Impact Statement (OBPR ID: 21-01217)</w:t>
        </w:r>
        <w:r w:rsidR="000F2049">
          <w:rPr>
            <w:noProof/>
            <w:webHidden/>
          </w:rPr>
          <w:tab/>
        </w:r>
        <w:r w:rsidR="000F2049">
          <w:rPr>
            <w:noProof/>
            <w:webHidden/>
          </w:rPr>
          <w:fldChar w:fldCharType="begin"/>
        </w:r>
        <w:r w:rsidR="000F2049">
          <w:rPr>
            <w:noProof/>
            <w:webHidden/>
          </w:rPr>
          <w:instrText xml:space="preserve"> PAGEREF _Toc109300436 \h </w:instrText>
        </w:r>
        <w:r w:rsidR="000F2049">
          <w:rPr>
            <w:noProof/>
            <w:webHidden/>
          </w:rPr>
        </w:r>
        <w:r w:rsidR="000F2049">
          <w:rPr>
            <w:noProof/>
            <w:webHidden/>
          </w:rPr>
          <w:fldChar w:fldCharType="separate"/>
        </w:r>
        <w:r w:rsidR="00370FF0">
          <w:rPr>
            <w:noProof/>
            <w:webHidden/>
          </w:rPr>
          <w:t>37</w:t>
        </w:r>
        <w:r w:rsidR="000F2049">
          <w:rPr>
            <w:noProof/>
            <w:webHidden/>
          </w:rPr>
          <w:fldChar w:fldCharType="end"/>
        </w:r>
      </w:hyperlink>
    </w:p>
    <w:p w14:paraId="5B042180" w14:textId="37A04883" w:rsidR="000F2049" w:rsidRDefault="00266CCA" w:rsidP="000F2049">
      <w:pPr>
        <w:pStyle w:val="TOC2"/>
        <w:tabs>
          <w:tab w:val="right" w:leader="dot" w:pos="9016"/>
        </w:tabs>
        <w:rPr>
          <w:rFonts w:eastAsiaTheme="minorEastAsia" w:cstheme="minorBidi"/>
          <w:smallCaps w:val="0"/>
          <w:noProof/>
          <w:sz w:val="22"/>
          <w:szCs w:val="22"/>
          <w:lang w:eastAsia="en-GB" w:bidi="ar-SA"/>
        </w:rPr>
      </w:pPr>
      <w:hyperlink w:anchor="_Toc109300465" w:history="1">
        <w:r w:rsidR="000F2049" w:rsidRPr="0014252F">
          <w:rPr>
            <w:rStyle w:val="Hyperlink"/>
            <w:noProof/>
          </w:rPr>
          <w:t>Appendix 1 – Cost–benefit analysis</w:t>
        </w:r>
        <w:r w:rsidR="000F2049">
          <w:rPr>
            <w:noProof/>
            <w:webHidden/>
          </w:rPr>
          <w:tab/>
        </w:r>
        <w:r w:rsidR="000F2049">
          <w:rPr>
            <w:noProof/>
            <w:webHidden/>
          </w:rPr>
          <w:fldChar w:fldCharType="begin"/>
        </w:r>
        <w:r w:rsidR="000F2049">
          <w:rPr>
            <w:noProof/>
            <w:webHidden/>
          </w:rPr>
          <w:instrText xml:space="preserve"> PAGEREF _Toc109300465 \h </w:instrText>
        </w:r>
        <w:r w:rsidR="000F2049">
          <w:rPr>
            <w:noProof/>
            <w:webHidden/>
          </w:rPr>
        </w:r>
        <w:r w:rsidR="000F2049">
          <w:rPr>
            <w:noProof/>
            <w:webHidden/>
          </w:rPr>
          <w:fldChar w:fldCharType="separate"/>
        </w:r>
        <w:r w:rsidR="00370FF0">
          <w:rPr>
            <w:noProof/>
            <w:webHidden/>
          </w:rPr>
          <w:t>78</w:t>
        </w:r>
        <w:r w:rsidR="000F2049">
          <w:rPr>
            <w:noProof/>
            <w:webHidden/>
          </w:rPr>
          <w:fldChar w:fldCharType="end"/>
        </w:r>
      </w:hyperlink>
    </w:p>
    <w:p w14:paraId="60F5B416" w14:textId="02C1FDE9" w:rsidR="000F2049" w:rsidRDefault="00266CCA">
      <w:pPr>
        <w:pStyle w:val="TOC2"/>
        <w:tabs>
          <w:tab w:val="right" w:leader="dot" w:pos="9016"/>
        </w:tabs>
        <w:rPr>
          <w:rFonts w:eastAsiaTheme="minorEastAsia" w:cstheme="minorBidi"/>
          <w:smallCaps w:val="0"/>
          <w:noProof/>
          <w:sz w:val="22"/>
          <w:szCs w:val="22"/>
          <w:lang w:eastAsia="en-GB" w:bidi="ar-SA"/>
        </w:rPr>
      </w:pPr>
      <w:hyperlink w:anchor="_Toc109300473" w:history="1">
        <w:r w:rsidR="000F2049" w:rsidRPr="0014252F">
          <w:rPr>
            <w:rStyle w:val="Hyperlink"/>
            <w:noProof/>
          </w:rPr>
          <w:t>Appendix 2 – Food safety culture initiatives and education</w:t>
        </w:r>
        <w:r w:rsidR="000F2049">
          <w:rPr>
            <w:noProof/>
            <w:webHidden/>
          </w:rPr>
          <w:tab/>
        </w:r>
        <w:r w:rsidR="000F2049">
          <w:rPr>
            <w:noProof/>
            <w:webHidden/>
          </w:rPr>
          <w:fldChar w:fldCharType="begin"/>
        </w:r>
        <w:r w:rsidR="000F2049">
          <w:rPr>
            <w:noProof/>
            <w:webHidden/>
          </w:rPr>
          <w:instrText xml:space="preserve"> PAGEREF _Toc109300473 \h </w:instrText>
        </w:r>
        <w:r w:rsidR="000F2049">
          <w:rPr>
            <w:noProof/>
            <w:webHidden/>
          </w:rPr>
        </w:r>
        <w:r w:rsidR="000F2049">
          <w:rPr>
            <w:noProof/>
            <w:webHidden/>
          </w:rPr>
          <w:fldChar w:fldCharType="separate"/>
        </w:r>
        <w:r w:rsidR="00370FF0">
          <w:rPr>
            <w:noProof/>
            <w:webHidden/>
          </w:rPr>
          <w:t>85</w:t>
        </w:r>
        <w:r w:rsidR="000F2049">
          <w:rPr>
            <w:noProof/>
            <w:webHidden/>
          </w:rPr>
          <w:fldChar w:fldCharType="end"/>
        </w:r>
      </w:hyperlink>
    </w:p>
    <w:p w14:paraId="4D0AA51B" w14:textId="343AA74C" w:rsidR="000F2049" w:rsidRDefault="00266CCA">
      <w:pPr>
        <w:pStyle w:val="TOC2"/>
        <w:tabs>
          <w:tab w:val="right" w:leader="dot" w:pos="9016"/>
        </w:tabs>
        <w:rPr>
          <w:rFonts w:eastAsiaTheme="minorEastAsia" w:cstheme="minorBidi"/>
          <w:smallCaps w:val="0"/>
          <w:noProof/>
          <w:sz w:val="22"/>
          <w:szCs w:val="22"/>
          <w:lang w:eastAsia="en-GB" w:bidi="ar-SA"/>
        </w:rPr>
      </w:pPr>
      <w:hyperlink w:anchor="_Toc109300474" w:history="1">
        <w:r w:rsidR="000F2049" w:rsidRPr="0014252F">
          <w:rPr>
            <w:rStyle w:val="Hyperlink"/>
            <w:noProof/>
          </w:rPr>
          <w:t>Appendix 3 – International approaches</w:t>
        </w:r>
        <w:r w:rsidR="000F2049">
          <w:rPr>
            <w:noProof/>
            <w:webHidden/>
          </w:rPr>
          <w:tab/>
        </w:r>
        <w:r w:rsidR="000F2049">
          <w:rPr>
            <w:noProof/>
            <w:webHidden/>
          </w:rPr>
          <w:fldChar w:fldCharType="begin"/>
        </w:r>
        <w:r w:rsidR="000F2049">
          <w:rPr>
            <w:noProof/>
            <w:webHidden/>
          </w:rPr>
          <w:instrText xml:space="preserve"> PAGEREF _Toc109300474 \h </w:instrText>
        </w:r>
        <w:r w:rsidR="000F2049">
          <w:rPr>
            <w:noProof/>
            <w:webHidden/>
          </w:rPr>
        </w:r>
        <w:r w:rsidR="000F2049">
          <w:rPr>
            <w:noProof/>
            <w:webHidden/>
          </w:rPr>
          <w:fldChar w:fldCharType="separate"/>
        </w:r>
        <w:r w:rsidR="00370FF0">
          <w:rPr>
            <w:noProof/>
            <w:webHidden/>
          </w:rPr>
          <w:t>86</w:t>
        </w:r>
        <w:r w:rsidR="000F2049">
          <w:rPr>
            <w:noProof/>
            <w:webHidden/>
          </w:rPr>
          <w:fldChar w:fldCharType="end"/>
        </w:r>
      </w:hyperlink>
    </w:p>
    <w:p w14:paraId="2C6CD2FA" w14:textId="71361945" w:rsidR="000F2049" w:rsidRDefault="00266CCA">
      <w:pPr>
        <w:pStyle w:val="TOC1"/>
        <w:tabs>
          <w:tab w:val="right" w:leader="dot" w:pos="9016"/>
        </w:tabs>
        <w:rPr>
          <w:rFonts w:eastAsiaTheme="minorEastAsia" w:cstheme="minorBidi"/>
          <w:b w:val="0"/>
          <w:bCs w:val="0"/>
          <w:caps w:val="0"/>
          <w:noProof/>
          <w:sz w:val="22"/>
          <w:szCs w:val="22"/>
          <w:lang w:eastAsia="en-GB" w:bidi="ar-SA"/>
        </w:rPr>
      </w:pPr>
      <w:hyperlink w:anchor="_Toc109300475" w:history="1">
        <w:r w:rsidR="000F2049" w:rsidRPr="0014252F">
          <w:rPr>
            <w:rStyle w:val="Hyperlink"/>
            <w:rFonts w:cs="Arial"/>
            <w:noProof/>
          </w:rPr>
          <w:t>Attachment D – Summary of submissions to the CFS (February – April 2022)</w:t>
        </w:r>
        <w:r w:rsidR="000F2049">
          <w:rPr>
            <w:noProof/>
            <w:webHidden/>
          </w:rPr>
          <w:tab/>
        </w:r>
        <w:r w:rsidR="000F2049">
          <w:rPr>
            <w:noProof/>
            <w:webHidden/>
          </w:rPr>
          <w:fldChar w:fldCharType="begin"/>
        </w:r>
        <w:r w:rsidR="000F2049">
          <w:rPr>
            <w:noProof/>
            <w:webHidden/>
          </w:rPr>
          <w:instrText xml:space="preserve"> PAGEREF _Toc109300475 \h </w:instrText>
        </w:r>
        <w:r w:rsidR="000F2049">
          <w:rPr>
            <w:noProof/>
            <w:webHidden/>
          </w:rPr>
        </w:r>
        <w:r w:rsidR="000F2049">
          <w:rPr>
            <w:noProof/>
            <w:webHidden/>
          </w:rPr>
          <w:fldChar w:fldCharType="separate"/>
        </w:r>
        <w:r w:rsidR="00370FF0">
          <w:rPr>
            <w:noProof/>
            <w:webHidden/>
          </w:rPr>
          <w:t>88</w:t>
        </w:r>
        <w:r w:rsidR="000F2049">
          <w:rPr>
            <w:noProof/>
            <w:webHidden/>
          </w:rPr>
          <w:fldChar w:fldCharType="end"/>
        </w:r>
      </w:hyperlink>
    </w:p>
    <w:p w14:paraId="0D46933D" w14:textId="689E35A1" w:rsidR="00A671E6" w:rsidRPr="000B427A" w:rsidRDefault="00B55714" w:rsidP="00A671E6">
      <w:pPr>
        <w:rPr>
          <w:b/>
          <w:bCs/>
        </w:rPr>
      </w:pPr>
      <w:r w:rsidRPr="00346622">
        <w:rPr>
          <w:rFonts w:cs="Arial"/>
          <w:sz w:val="20"/>
          <w:szCs w:val="20"/>
        </w:rPr>
        <w:fldChar w:fldCharType="end"/>
      </w:r>
      <w:r w:rsidR="00A671E6" w:rsidRPr="000B427A">
        <w:rPr>
          <w:b/>
          <w:bCs/>
        </w:rPr>
        <w:t>S</w:t>
      </w:r>
      <w:r w:rsidR="007C22CB" w:rsidRPr="000B427A">
        <w:rPr>
          <w:b/>
          <w:bCs/>
        </w:rPr>
        <w:t>upporting</w:t>
      </w:r>
      <w:r w:rsidR="00224E3B" w:rsidRPr="000B427A">
        <w:rPr>
          <w:b/>
          <w:bCs/>
        </w:rPr>
        <w:t xml:space="preserve"> document</w:t>
      </w:r>
      <w:r w:rsidR="00224E3B" w:rsidRPr="00EA49D8">
        <w:rPr>
          <w:b/>
          <w:bCs/>
        </w:rPr>
        <w:t>s</w:t>
      </w:r>
      <w:r w:rsidR="00A671E6" w:rsidRPr="000B427A">
        <w:rPr>
          <w:b/>
          <w:bCs/>
        </w:rPr>
        <w:t xml:space="preserve"> </w:t>
      </w:r>
    </w:p>
    <w:p w14:paraId="644AC0BF" w14:textId="427D1D37" w:rsidR="007A53BF" w:rsidRDefault="007A53BF" w:rsidP="007A53BF">
      <w:pPr>
        <w:rPr>
          <w:szCs w:val="22"/>
        </w:rPr>
      </w:pPr>
      <w:r w:rsidRPr="0089264A">
        <w:rPr>
          <w:szCs w:val="22"/>
        </w:rPr>
        <w:t xml:space="preserve">The </w:t>
      </w:r>
      <w:r w:rsidRPr="00E32625">
        <w:rPr>
          <w:szCs w:val="22"/>
        </w:rPr>
        <w:t>following documents</w:t>
      </w:r>
      <w:r w:rsidRPr="00EA49D8">
        <w:rPr>
          <w:szCs w:val="22"/>
        </w:rPr>
        <w:t xml:space="preserve"> </w:t>
      </w:r>
      <w:r>
        <w:rPr>
          <w:szCs w:val="22"/>
        </w:rPr>
        <w:t xml:space="preserve">which informed the assessment of this </w:t>
      </w:r>
      <w:r w:rsidR="00191F1B" w:rsidRPr="00E32625">
        <w:rPr>
          <w:szCs w:val="22"/>
        </w:rPr>
        <w:t>p</w:t>
      </w:r>
      <w:r w:rsidRPr="00E32625">
        <w:rPr>
          <w:szCs w:val="22"/>
        </w:rPr>
        <w:t>roposal</w:t>
      </w:r>
      <w:r w:rsidRPr="00EA49D8">
        <w:rPr>
          <w:szCs w:val="22"/>
        </w:rPr>
        <w:t xml:space="preserve"> </w:t>
      </w:r>
      <w:r>
        <w:rPr>
          <w:szCs w:val="22"/>
        </w:rPr>
        <w:t>are</w:t>
      </w:r>
      <w:r w:rsidRPr="0089264A">
        <w:rPr>
          <w:szCs w:val="22"/>
        </w:rPr>
        <w:t xml:space="preserve"> available on the </w:t>
      </w:r>
      <w:hyperlink r:id="rId20" w:history="1">
        <w:r w:rsidRPr="00D00DD1">
          <w:rPr>
            <w:rStyle w:val="Hyperlink"/>
            <w:szCs w:val="22"/>
          </w:rPr>
          <w:t>FSANZ website</w:t>
        </w:r>
      </w:hyperlink>
      <w:r w:rsidR="00FF3E26">
        <w:rPr>
          <w:szCs w:val="22"/>
        </w:rPr>
        <w:t>:</w:t>
      </w:r>
    </w:p>
    <w:p w14:paraId="0B95864E" w14:textId="77777777" w:rsidR="00B23A93" w:rsidRPr="0089264A" w:rsidRDefault="00B23A93" w:rsidP="007A53BF">
      <w:pPr>
        <w:rPr>
          <w:color w:val="FF0000"/>
          <w:szCs w:val="22"/>
        </w:rPr>
      </w:pPr>
    </w:p>
    <w:p w14:paraId="06D2E1BE" w14:textId="6C51D0DD" w:rsidR="00EA49D8" w:rsidRDefault="00266CCA" w:rsidP="00CF136E">
      <w:hyperlink r:id="rId21" w:history="1">
        <w:r w:rsidR="00B31E62" w:rsidRPr="00B31E62">
          <w:rPr>
            <w:rStyle w:val="Hyperlink"/>
          </w:rPr>
          <w:t>Consultation</w:t>
        </w:r>
        <w:r w:rsidR="000E6C19" w:rsidRPr="00B31E62">
          <w:rPr>
            <w:rStyle w:val="Hyperlink"/>
          </w:rPr>
          <w:t xml:space="preserve"> </w:t>
        </w:r>
        <w:r w:rsidR="00EA49D8" w:rsidRPr="00B31E62">
          <w:rPr>
            <w:rStyle w:val="Hyperlink"/>
          </w:rPr>
          <w:t>Regulatory Impact Statement</w:t>
        </w:r>
      </w:hyperlink>
      <w:r w:rsidR="00EA49D8" w:rsidRPr="00F46D87">
        <w:t xml:space="preserve"> </w:t>
      </w:r>
    </w:p>
    <w:p w14:paraId="42BE22A6" w14:textId="77777777" w:rsidR="001B20D8" w:rsidRDefault="00266CCA" w:rsidP="00CF136E">
      <w:pPr>
        <w:rPr>
          <w:rStyle w:val="Hyperlink"/>
        </w:rPr>
      </w:pPr>
      <w:hyperlink r:id="rId22" w:history="1">
        <w:r w:rsidR="0031346D" w:rsidRPr="00E32625">
          <w:rPr>
            <w:rStyle w:val="Hyperlink"/>
          </w:rPr>
          <w:t>Microbiological risk profile</w:t>
        </w:r>
      </w:hyperlink>
    </w:p>
    <w:p w14:paraId="7130F294" w14:textId="028C5B30" w:rsidR="003C4969" w:rsidRPr="00CA5734" w:rsidRDefault="00266CCA" w:rsidP="00CF136E">
      <w:hyperlink r:id="rId23" w:history="1">
        <w:r w:rsidR="001B20D8" w:rsidRPr="001B20D8">
          <w:rPr>
            <w:rStyle w:val="Hyperlink"/>
            <w:szCs w:val="22"/>
          </w:rPr>
          <w:t>Call for submissions report</w:t>
        </w:r>
      </w:hyperlink>
      <w:r w:rsidR="00D15A08" w:rsidRPr="00CA5734">
        <w:br w:type="page"/>
      </w:r>
    </w:p>
    <w:p w14:paraId="7DD702E9" w14:textId="77777777" w:rsidR="007A53BF" w:rsidRPr="007A53BF" w:rsidRDefault="0EE40C9C" w:rsidP="00F13633">
      <w:pPr>
        <w:pStyle w:val="Heading1"/>
        <w:numPr>
          <w:ilvl w:val="0"/>
          <w:numId w:val="0"/>
        </w:numPr>
        <w:ind w:left="432"/>
      </w:pPr>
      <w:bookmarkStart w:id="0" w:name="_Toc286391001"/>
      <w:bookmarkStart w:id="1" w:name="_Toc300933414"/>
      <w:bookmarkStart w:id="2" w:name="_Toc370223463"/>
      <w:bookmarkStart w:id="3" w:name="_Toc109300400"/>
      <w:bookmarkStart w:id="4" w:name="_Toc11735627"/>
      <w:bookmarkStart w:id="5" w:name="_Toc29883110"/>
      <w:bookmarkStart w:id="6" w:name="_Toc41906797"/>
      <w:bookmarkStart w:id="7" w:name="_Toc41907544"/>
      <w:bookmarkStart w:id="8" w:name="_Toc120358575"/>
      <w:r>
        <w:lastRenderedPageBreak/>
        <w:t>Executive summary</w:t>
      </w:r>
      <w:bookmarkEnd w:id="0"/>
      <w:bookmarkEnd w:id="1"/>
      <w:bookmarkEnd w:id="2"/>
      <w:bookmarkEnd w:id="3"/>
    </w:p>
    <w:p w14:paraId="2A865822" w14:textId="4CD92259" w:rsidR="002869F3" w:rsidRPr="002869F3" w:rsidRDefault="3E4ACB0C" w:rsidP="002869F3">
      <w:pPr>
        <w:spacing w:after="240"/>
        <w:rPr>
          <w:lang w:val="en-AU"/>
        </w:rPr>
      </w:pPr>
      <w:r>
        <w:t>Food service</w:t>
      </w:r>
      <w:r w:rsidR="14785412">
        <w:t xml:space="preserve"> </w:t>
      </w:r>
      <w:r w:rsidRPr="034B53FF">
        <w:rPr>
          <w:lang w:val="en-US"/>
        </w:rPr>
        <w:t xml:space="preserve">and related retail </w:t>
      </w:r>
      <w:r w:rsidR="14785412">
        <w:t>sector</w:t>
      </w:r>
      <w:r>
        <w:t>s</w:t>
      </w:r>
      <w:r w:rsidR="14785412">
        <w:t xml:space="preserve"> </w:t>
      </w:r>
      <w:r>
        <w:t>are</w:t>
      </w:r>
      <w:r w:rsidR="14785412">
        <w:t xml:space="preserve"> vitally important to the Australian economy and our way of life. </w:t>
      </w:r>
      <w:r w:rsidR="00705CE8">
        <w:t xml:space="preserve">Through </w:t>
      </w:r>
      <w:r w:rsidR="00705CE8" w:rsidRPr="034B53FF">
        <w:rPr>
          <w:lang w:val="en-AU"/>
        </w:rPr>
        <w:t xml:space="preserve">Proposal P1053, FSANZ assessed food safety management </w:t>
      </w:r>
      <w:r w:rsidR="1816F068" w:rsidRPr="034B53FF">
        <w:rPr>
          <w:lang w:val="en-AU"/>
        </w:rPr>
        <w:t>tools designed</w:t>
      </w:r>
      <w:r w:rsidR="00705CE8" w:rsidRPr="034B53FF">
        <w:rPr>
          <w:lang w:val="en-AU"/>
        </w:rPr>
        <w:t xml:space="preserve"> to help food businesses strengthen food safety and </w:t>
      </w:r>
      <w:r w:rsidR="4ABD7905" w:rsidRPr="034B53FF">
        <w:rPr>
          <w:lang w:val="en-AU"/>
        </w:rPr>
        <w:t xml:space="preserve">consistently </w:t>
      </w:r>
      <w:r w:rsidR="00705CE8" w:rsidRPr="034B53FF">
        <w:rPr>
          <w:lang w:val="en-AU"/>
        </w:rPr>
        <w:t>deliver safer food to consumers, thereby supporting</w:t>
      </w:r>
      <w:r w:rsidR="736FBEC0" w:rsidRPr="034B53FF">
        <w:rPr>
          <w:lang w:val="en-AU"/>
        </w:rPr>
        <w:t xml:space="preserve"> </w:t>
      </w:r>
      <w:r w:rsidR="718BE40F" w:rsidRPr="034B53FF">
        <w:rPr>
          <w:lang w:val="en-AU"/>
        </w:rPr>
        <w:t>consumer confidence in this sector</w:t>
      </w:r>
      <w:r w:rsidR="43797606" w:rsidRPr="034B53FF">
        <w:rPr>
          <w:lang w:val="en-AU"/>
        </w:rPr>
        <w:t>.</w:t>
      </w:r>
      <w:r w:rsidR="718BE40F" w:rsidRPr="034B53FF">
        <w:rPr>
          <w:lang w:val="en-AU"/>
        </w:rPr>
        <w:t xml:space="preserve"> </w:t>
      </w:r>
    </w:p>
    <w:p w14:paraId="4F85412C" w14:textId="4B6CDC17" w:rsidR="000A7805" w:rsidRDefault="14785412" w:rsidP="002C7827">
      <w:pPr>
        <w:spacing w:after="240"/>
        <w:rPr>
          <w:lang w:val="en-US"/>
        </w:rPr>
      </w:pPr>
      <w:r>
        <w:t>Many businesses do an excellent job in providing Australians with safe food</w:t>
      </w:r>
      <w:r w:rsidR="00F12BD0">
        <w:t>.</w:t>
      </w:r>
      <w:r w:rsidR="0079530B">
        <w:t xml:space="preserve"> H</w:t>
      </w:r>
      <w:r>
        <w:t>owever</w:t>
      </w:r>
      <w:r w:rsidR="0079530B">
        <w:t>,</w:t>
      </w:r>
      <w:r>
        <w:t xml:space="preserve"> a</w:t>
      </w:r>
      <w:r w:rsidRPr="4089DC16">
        <w:rPr>
          <w:lang w:val="en-US"/>
        </w:rPr>
        <w:t xml:space="preserve"> proportion of reported foodborne illness cases are linked to food service sectors</w:t>
      </w:r>
      <w:r>
        <w:t xml:space="preserve">. </w:t>
      </w:r>
      <w:r w:rsidRPr="4089DC16">
        <w:rPr>
          <w:lang w:val="en-US"/>
        </w:rPr>
        <w:t xml:space="preserve">Reducing foodborne illness in Australia and ensuring greater consistency </w:t>
      </w:r>
      <w:r w:rsidR="1EC425AD" w:rsidRPr="4089DC16">
        <w:rPr>
          <w:lang w:val="en-US"/>
        </w:rPr>
        <w:t xml:space="preserve">in food safety management </w:t>
      </w:r>
      <w:r w:rsidRPr="4089DC16">
        <w:rPr>
          <w:lang w:val="en-US"/>
        </w:rPr>
        <w:t>across the</w:t>
      </w:r>
      <w:r w:rsidR="3E4ACB0C" w:rsidRPr="4089DC16">
        <w:rPr>
          <w:lang w:val="en-US"/>
        </w:rPr>
        <w:t>se</w:t>
      </w:r>
      <w:r w:rsidRPr="4089DC16">
        <w:rPr>
          <w:lang w:val="en-US"/>
        </w:rPr>
        <w:t xml:space="preserve"> sector</w:t>
      </w:r>
      <w:r w:rsidR="3E4ACB0C" w:rsidRPr="4089DC16">
        <w:rPr>
          <w:lang w:val="en-US"/>
        </w:rPr>
        <w:t>s</w:t>
      </w:r>
      <w:r w:rsidRPr="4089DC16">
        <w:rPr>
          <w:lang w:val="en-US"/>
        </w:rPr>
        <w:t xml:space="preserve"> is </w:t>
      </w:r>
      <w:r w:rsidR="3E4ACB0C" w:rsidRPr="4089DC16">
        <w:rPr>
          <w:lang w:val="en-US"/>
        </w:rPr>
        <w:t>a focus</w:t>
      </w:r>
      <w:r w:rsidRPr="4089DC16">
        <w:rPr>
          <w:lang w:val="en-US"/>
        </w:rPr>
        <w:t xml:space="preserve"> for the food regulatory system.</w:t>
      </w:r>
    </w:p>
    <w:p w14:paraId="1007F87E" w14:textId="77B1C79A" w:rsidR="002C7827" w:rsidRDefault="37CE33B8" w:rsidP="002C7827">
      <w:pPr>
        <w:spacing w:after="240"/>
        <w:rPr>
          <w:color w:val="000000" w:themeColor="text1"/>
        </w:rPr>
      </w:pPr>
      <w:r w:rsidRPr="5D81D27C">
        <w:rPr>
          <w:color w:val="000000" w:themeColor="text1"/>
        </w:rPr>
        <w:t xml:space="preserve">Food ministers requested </w:t>
      </w:r>
      <w:r w:rsidRPr="5D81D27C">
        <w:rPr>
          <w:lang w:val="en-US"/>
        </w:rPr>
        <w:t xml:space="preserve">Food Standards Australia New Zealand (FSANZ) </w:t>
      </w:r>
      <w:r w:rsidRPr="5D81D27C">
        <w:rPr>
          <w:color w:val="000000" w:themeColor="text1"/>
        </w:rPr>
        <w:t>re</w:t>
      </w:r>
      <w:r w:rsidR="229CBCE3" w:rsidRPr="5D81D27C">
        <w:rPr>
          <w:color w:val="000000" w:themeColor="text1"/>
        </w:rPr>
        <w:t xml:space="preserve">view five food safety measures for the food service sectors </w:t>
      </w:r>
      <w:r w:rsidRPr="5D81D27C">
        <w:rPr>
          <w:color w:val="000000" w:themeColor="text1"/>
        </w:rPr>
        <w:t xml:space="preserve">and </w:t>
      </w:r>
      <w:r w:rsidR="229CBCE3" w:rsidRPr="5D81D27C">
        <w:rPr>
          <w:color w:val="000000" w:themeColor="text1"/>
        </w:rPr>
        <w:t xml:space="preserve">consider </w:t>
      </w:r>
      <w:r w:rsidRPr="5D81D27C">
        <w:rPr>
          <w:color w:val="000000" w:themeColor="text1"/>
        </w:rPr>
        <w:t xml:space="preserve">whether they would provide </w:t>
      </w:r>
      <w:r w:rsidR="229CBCE3" w:rsidRPr="5D81D27C">
        <w:rPr>
          <w:color w:val="000000" w:themeColor="text1"/>
        </w:rPr>
        <w:t xml:space="preserve">a </w:t>
      </w:r>
      <w:r w:rsidRPr="5D81D27C">
        <w:rPr>
          <w:color w:val="000000" w:themeColor="text1"/>
        </w:rPr>
        <w:t xml:space="preserve">net benefit if applied in a well targeted manner. </w:t>
      </w:r>
    </w:p>
    <w:p w14:paraId="73D3C054" w14:textId="410F2D53" w:rsidR="002C7827" w:rsidRDefault="002C7827" w:rsidP="002C7827">
      <w:pPr>
        <w:spacing w:after="240"/>
        <w:rPr>
          <w:color w:val="000000" w:themeColor="text1"/>
        </w:rPr>
      </w:pPr>
      <w:r>
        <w:t>For the reasons listed in this report, FSANZ has approved a draft Standard to require certain food businesses which serve or sell potentially hazardous food (PHF) to: have certified food safety supervisors</w:t>
      </w:r>
      <w:r w:rsidR="000677F6">
        <w:t xml:space="preserve"> (FSS)</w:t>
      </w:r>
      <w:r>
        <w:t>; ensure food handlers have the requi</w:t>
      </w:r>
      <w:r w:rsidR="00ED38D1">
        <w:t>si</w:t>
      </w:r>
      <w:r>
        <w:t>te training or knowledge and skills</w:t>
      </w:r>
      <w:r w:rsidR="000677F6">
        <w:t xml:space="preserve"> (FHT)</w:t>
      </w:r>
      <w:r>
        <w:t>; and be able to substantiate the safety of key food handling practices</w:t>
      </w:r>
      <w:r w:rsidR="000677F6">
        <w:t xml:space="preserve"> (E – as evidence)</w:t>
      </w:r>
      <w:r>
        <w:t>.</w:t>
      </w:r>
    </w:p>
    <w:p w14:paraId="11516B19" w14:textId="6F96EB66" w:rsidR="000A7805" w:rsidRPr="00D31CA5" w:rsidRDefault="229CBCE3" w:rsidP="002C7827">
      <w:pPr>
        <w:spacing w:after="240"/>
        <w:rPr>
          <w:lang w:val="en-US" w:bidi="ar-SA"/>
        </w:rPr>
      </w:pPr>
      <w:r w:rsidRPr="342FFC39">
        <w:rPr>
          <w:lang w:val="en-US" w:bidi="ar-SA"/>
        </w:rPr>
        <w:t>T</w:t>
      </w:r>
      <w:r w:rsidR="37CE33B8" w:rsidRPr="342FFC39">
        <w:rPr>
          <w:lang w:val="en-US" w:bidi="ar-SA"/>
        </w:rPr>
        <w:t>wo non-regulatory tools -</w:t>
      </w:r>
      <w:r w:rsidR="00195180">
        <w:rPr>
          <w:lang w:val="en-US" w:bidi="ar-SA"/>
        </w:rPr>
        <w:t xml:space="preserve"> </w:t>
      </w:r>
      <w:r w:rsidR="73277BC9">
        <w:t xml:space="preserve">food safety culture initiatives </w:t>
      </w:r>
      <w:r w:rsidR="002C7827">
        <w:t xml:space="preserve">and an education package for </w:t>
      </w:r>
      <w:r w:rsidR="00CF6D00">
        <w:t>e</w:t>
      </w:r>
      <w:r w:rsidR="002C7827">
        <w:t xml:space="preserve">nvironmental health officers and industry </w:t>
      </w:r>
      <w:r w:rsidR="00947172">
        <w:rPr>
          <w:lang w:val="en-US" w:bidi="ar-SA"/>
        </w:rPr>
        <w:t>–</w:t>
      </w:r>
      <w:r w:rsidR="73277BC9">
        <w:t xml:space="preserve"> </w:t>
      </w:r>
      <w:r w:rsidR="00F11551">
        <w:rPr>
          <w:lang w:val="en-US" w:bidi="ar-SA"/>
        </w:rPr>
        <w:t>are</w:t>
      </w:r>
      <w:r w:rsidR="00F11551" w:rsidRPr="342FFC39">
        <w:rPr>
          <w:lang w:val="en-US" w:bidi="ar-SA"/>
        </w:rPr>
        <w:t xml:space="preserve"> </w:t>
      </w:r>
      <w:r w:rsidR="37CE33B8" w:rsidRPr="342FFC39">
        <w:rPr>
          <w:lang w:val="en-US" w:bidi="ar-SA"/>
        </w:rPr>
        <w:t>considered</w:t>
      </w:r>
      <w:r w:rsidR="002C7827">
        <w:rPr>
          <w:lang w:val="en-US" w:bidi="ar-SA"/>
        </w:rPr>
        <w:t xml:space="preserve"> </w:t>
      </w:r>
      <w:r w:rsidR="002C7827" w:rsidRPr="001B4F1E">
        <w:rPr>
          <w:snapToGrid w:val="0"/>
          <w:szCs w:val="22"/>
        </w:rPr>
        <w:t xml:space="preserve">integral </w:t>
      </w:r>
      <w:r w:rsidR="002C7827">
        <w:rPr>
          <w:snapToGrid w:val="0"/>
          <w:szCs w:val="22"/>
        </w:rPr>
        <w:t>to the effectiveness of these new regulatory measures</w:t>
      </w:r>
      <w:r w:rsidR="002C7827" w:rsidRPr="001B4F1E">
        <w:rPr>
          <w:snapToGrid w:val="0"/>
          <w:szCs w:val="22"/>
        </w:rPr>
        <w:t xml:space="preserve"> </w:t>
      </w:r>
      <w:r w:rsidR="73277BC9" w:rsidRPr="342FFC39">
        <w:rPr>
          <w:lang w:val="en-US" w:bidi="ar-SA"/>
        </w:rPr>
        <w:t>(</w:t>
      </w:r>
      <w:r w:rsidR="7F1ECE64" w:rsidRPr="342FFC39">
        <w:rPr>
          <w:lang w:val="en-US" w:bidi="ar-SA"/>
        </w:rPr>
        <w:t xml:space="preserve">refer to </w:t>
      </w:r>
      <w:r w:rsidR="37CE33B8" w:rsidRPr="342FFC39">
        <w:rPr>
          <w:lang w:val="en-US" w:bidi="ar-SA"/>
        </w:rPr>
        <w:t xml:space="preserve">the </w:t>
      </w:r>
      <w:r w:rsidR="73277BC9" w:rsidRPr="342FFC39">
        <w:rPr>
          <w:lang w:val="en-US" w:bidi="ar-SA"/>
        </w:rPr>
        <w:t>Decision</w:t>
      </w:r>
      <w:r w:rsidR="17829B8F" w:rsidRPr="342FFC39">
        <w:rPr>
          <w:lang w:val="en-US" w:bidi="ar-SA"/>
        </w:rPr>
        <w:t xml:space="preserve"> Regulatory Impact Statement (</w:t>
      </w:r>
      <w:r w:rsidR="73277BC9" w:rsidRPr="342FFC39">
        <w:rPr>
          <w:lang w:val="en-US" w:bidi="ar-SA"/>
        </w:rPr>
        <w:t>D</w:t>
      </w:r>
      <w:r w:rsidR="37CE33B8" w:rsidRPr="342FFC39">
        <w:rPr>
          <w:lang w:val="en-US" w:bidi="ar-SA"/>
        </w:rPr>
        <w:t>RIS</w:t>
      </w:r>
      <w:r w:rsidR="17829B8F" w:rsidRPr="342FFC39">
        <w:rPr>
          <w:lang w:val="en-US" w:bidi="ar-SA"/>
        </w:rPr>
        <w:t>) at</w:t>
      </w:r>
      <w:r w:rsidR="006707EC">
        <w:rPr>
          <w:lang w:val="en-US" w:bidi="ar-SA"/>
        </w:rPr>
        <w:t xml:space="preserve"> </w:t>
      </w:r>
      <w:r w:rsidR="3CF2C39A" w:rsidRPr="342FFC39">
        <w:rPr>
          <w:lang w:val="en-US" w:bidi="ar-SA"/>
        </w:rPr>
        <w:t>Attachment C</w:t>
      </w:r>
      <w:r w:rsidR="37CE33B8" w:rsidRPr="342FFC39">
        <w:rPr>
          <w:lang w:val="en-US" w:bidi="ar-SA"/>
        </w:rPr>
        <w:t>).</w:t>
      </w:r>
      <w:r w:rsidR="00271462">
        <w:rPr>
          <w:lang w:val="en-US" w:bidi="ar-SA"/>
        </w:rPr>
        <w:t xml:space="preserve"> </w:t>
      </w:r>
    </w:p>
    <w:p w14:paraId="6DB6CCCE" w14:textId="6DA6D425" w:rsidR="000A7805" w:rsidRDefault="00A64761" w:rsidP="002C7827">
      <w:pPr>
        <w:rPr>
          <w:b/>
          <w:lang w:val="en-US"/>
        </w:rPr>
      </w:pPr>
      <w:r>
        <w:rPr>
          <w:b/>
          <w:lang w:val="en-US"/>
        </w:rPr>
        <w:t>A</w:t>
      </w:r>
      <w:r w:rsidR="000A7805" w:rsidRPr="00A51E9C">
        <w:rPr>
          <w:b/>
          <w:lang w:val="en-US"/>
        </w:rPr>
        <w:t xml:space="preserve">ssessment </w:t>
      </w:r>
      <w:r>
        <w:rPr>
          <w:b/>
          <w:lang w:val="en-US"/>
        </w:rPr>
        <w:t>summary</w:t>
      </w:r>
    </w:p>
    <w:p w14:paraId="43BF4216" w14:textId="3C82025D" w:rsidR="000A7805" w:rsidRPr="004E059A" w:rsidRDefault="00CD3835" w:rsidP="002C7827">
      <w:pPr>
        <w:spacing w:after="240"/>
        <w:rPr>
          <w:lang w:val="en-US"/>
        </w:rPr>
      </w:pPr>
      <w:r w:rsidRPr="5D81D27C">
        <w:rPr>
          <w:lang w:bidi="ar-SA"/>
        </w:rPr>
        <w:t xml:space="preserve">FSANZ assessed the proposal in accordance with the </w:t>
      </w:r>
      <w:r w:rsidRPr="5D81D27C">
        <w:rPr>
          <w:i/>
          <w:iCs/>
          <w:lang w:bidi="ar-SA"/>
        </w:rPr>
        <w:t>Food Standards Australia New Zealand Act 1991</w:t>
      </w:r>
      <w:r w:rsidRPr="5D81D27C">
        <w:rPr>
          <w:lang w:bidi="ar-SA"/>
        </w:rPr>
        <w:t xml:space="preserve"> (</w:t>
      </w:r>
      <w:proofErr w:type="spellStart"/>
      <w:r w:rsidRPr="5D81D27C">
        <w:rPr>
          <w:lang w:bidi="ar-SA"/>
        </w:rPr>
        <w:t>Cth</w:t>
      </w:r>
      <w:proofErr w:type="spellEnd"/>
      <w:r w:rsidRPr="5D81D27C">
        <w:rPr>
          <w:lang w:bidi="ar-SA"/>
        </w:rPr>
        <w:t xml:space="preserve">). </w:t>
      </w:r>
      <w:r w:rsidR="000A7805" w:rsidRPr="5D81D27C">
        <w:rPr>
          <w:lang w:val="en-US"/>
        </w:rPr>
        <w:t xml:space="preserve">FSANZ assessed the extent of foodborne illness linked to food service businesses and identified key food handling activities </w:t>
      </w:r>
      <w:r w:rsidR="00A64761" w:rsidRPr="5D81D27C">
        <w:rPr>
          <w:lang w:val="en-US"/>
        </w:rPr>
        <w:t>needing</w:t>
      </w:r>
      <w:r w:rsidR="000A7805" w:rsidRPr="5D81D27C">
        <w:rPr>
          <w:lang w:val="en-US"/>
        </w:rPr>
        <w:t xml:space="preserve"> improve</w:t>
      </w:r>
      <w:r w:rsidR="00A64761" w:rsidRPr="5D81D27C">
        <w:rPr>
          <w:lang w:val="en-US"/>
        </w:rPr>
        <w:t>d management</w:t>
      </w:r>
      <w:r w:rsidR="000A7805" w:rsidRPr="5D81D27C">
        <w:rPr>
          <w:lang w:val="en-US"/>
        </w:rPr>
        <w:t>. We examined national food safety requirements</w:t>
      </w:r>
      <w:r w:rsidR="00A64761" w:rsidRPr="5D81D27C">
        <w:rPr>
          <w:lang w:val="en-US"/>
        </w:rPr>
        <w:t>,</w:t>
      </w:r>
      <w:r w:rsidR="000A7805" w:rsidRPr="5D81D27C">
        <w:rPr>
          <w:lang w:val="en-US"/>
        </w:rPr>
        <w:t xml:space="preserve"> international approaches</w:t>
      </w:r>
      <w:r w:rsidR="00A64761" w:rsidRPr="5D81D27C">
        <w:rPr>
          <w:lang w:val="en-US"/>
        </w:rPr>
        <w:t xml:space="preserve"> and </w:t>
      </w:r>
      <w:r w:rsidR="000A7805" w:rsidRPr="5D81D27C">
        <w:rPr>
          <w:lang w:val="en-US"/>
        </w:rPr>
        <w:t xml:space="preserve">the impact of additional </w:t>
      </w:r>
      <w:r w:rsidR="00A64761" w:rsidRPr="5D81D27C">
        <w:rPr>
          <w:lang w:val="en-US"/>
        </w:rPr>
        <w:t xml:space="preserve">food safety </w:t>
      </w:r>
      <w:r w:rsidR="000A7805" w:rsidRPr="5D81D27C">
        <w:rPr>
          <w:lang w:val="en-US"/>
        </w:rPr>
        <w:t>tools</w:t>
      </w:r>
      <w:r w:rsidR="00A10151" w:rsidRPr="5D81D27C">
        <w:rPr>
          <w:lang w:val="en-US"/>
        </w:rPr>
        <w:t xml:space="preserve"> where they have been applied</w:t>
      </w:r>
      <w:r w:rsidR="000A7805" w:rsidRPr="5D81D27C">
        <w:rPr>
          <w:lang w:val="en-US"/>
        </w:rPr>
        <w:t>. Key findings are:</w:t>
      </w:r>
    </w:p>
    <w:p w14:paraId="474095CF" w14:textId="52D789B6" w:rsidR="000677F6" w:rsidRPr="000677F6" w:rsidRDefault="37CE33B8" w:rsidP="000677F6">
      <w:pPr>
        <w:pStyle w:val="ListParagraph"/>
        <w:numPr>
          <w:ilvl w:val="0"/>
          <w:numId w:val="98"/>
        </w:numPr>
        <w:spacing w:after="240"/>
        <w:rPr>
          <w:color w:val="000000" w:themeColor="text1"/>
        </w:rPr>
      </w:pPr>
      <w:r>
        <w:t>Food</w:t>
      </w:r>
      <w:r w:rsidRPr="000677F6">
        <w:rPr>
          <w:lang w:val="en-US"/>
        </w:rPr>
        <w:t xml:space="preserve"> service businesses have been </w:t>
      </w:r>
      <w:r w:rsidR="60E73399" w:rsidRPr="000677F6">
        <w:rPr>
          <w:lang w:val="en-US"/>
        </w:rPr>
        <w:t xml:space="preserve">and continue to be </w:t>
      </w:r>
      <w:r w:rsidRPr="000677F6">
        <w:rPr>
          <w:lang w:val="en-US"/>
        </w:rPr>
        <w:t>linked to a proportion of foodborne illness in Australia. Th</w:t>
      </w:r>
      <w:r w:rsidR="00F11551">
        <w:rPr>
          <w:lang w:val="en-US"/>
        </w:rPr>
        <w:t>ese</w:t>
      </w:r>
      <w:r w:rsidRPr="000677F6">
        <w:rPr>
          <w:lang w:val="en-US"/>
        </w:rPr>
        <w:t xml:space="preserve"> </w:t>
      </w:r>
      <w:r w:rsidR="00F11551">
        <w:rPr>
          <w:lang w:val="en-US"/>
        </w:rPr>
        <w:t xml:space="preserve">outbreaks </w:t>
      </w:r>
      <w:r w:rsidRPr="000677F6">
        <w:rPr>
          <w:lang w:val="en-US"/>
        </w:rPr>
        <w:t xml:space="preserve">indicate </w:t>
      </w:r>
      <w:r w:rsidR="00DA36A0">
        <w:rPr>
          <w:color w:val="000000" w:themeColor="text1"/>
        </w:rPr>
        <w:t>where</w:t>
      </w:r>
      <w:r w:rsidR="00DA36A0" w:rsidRPr="000677F6">
        <w:rPr>
          <w:color w:val="000000" w:themeColor="text1"/>
        </w:rPr>
        <w:t xml:space="preserve"> </w:t>
      </w:r>
      <w:r w:rsidRPr="000677F6">
        <w:rPr>
          <w:color w:val="000000" w:themeColor="text1"/>
        </w:rPr>
        <w:t xml:space="preserve">food handling activities </w:t>
      </w:r>
      <w:r w:rsidR="00F11551">
        <w:rPr>
          <w:color w:val="000000" w:themeColor="text1"/>
        </w:rPr>
        <w:t xml:space="preserve">need to </w:t>
      </w:r>
      <w:r w:rsidR="00DA36A0">
        <w:rPr>
          <w:color w:val="000000" w:themeColor="text1"/>
        </w:rPr>
        <w:t xml:space="preserve">be improved </w:t>
      </w:r>
      <w:r w:rsidR="0DD32B6C">
        <w:t>(e.g. food temperature</w:t>
      </w:r>
      <w:r w:rsidR="00DA36A0">
        <w:t xml:space="preserve"> control </w:t>
      </w:r>
      <w:r w:rsidR="0DD32B6C">
        <w:t xml:space="preserve">and sanitisation processes </w:t>
      </w:r>
      <w:r w:rsidRPr="000677F6">
        <w:rPr>
          <w:color w:val="000000" w:themeColor="text1"/>
        </w:rPr>
        <w:t>for</w:t>
      </w:r>
      <w:r w:rsidR="000677F6">
        <w:rPr>
          <w:color w:val="000000" w:themeColor="text1"/>
        </w:rPr>
        <w:t xml:space="preserve"> </w:t>
      </w:r>
      <w:r w:rsidRPr="000677F6">
        <w:rPr>
          <w:color w:val="000000" w:themeColor="text1"/>
        </w:rPr>
        <w:t xml:space="preserve">PHF). </w:t>
      </w:r>
    </w:p>
    <w:p w14:paraId="73CBA226" w14:textId="5E88C1F5" w:rsidR="000677F6" w:rsidRDefault="60E73399" w:rsidP="002C7827">
      <w:pPr>
        <w:pStyle w:val="ListParagraph"/>
        <w:numPr>
          <w:ilvl w:val="0"/>
          <w:numId w:val="98"/>
        </w:numPr>
        <w:spacing w:after="240"/>
      </w:pPr>
      <w:r>
        <w:t>C</w:t>
      </w:r>
      <w:r w:rsidR="73277BC9">
        <w:t xml:space="preserve">ompared to other settings, </w:t>
      </w:r>
      <w:r w:rsidR="37CE33B8">
        <w:t xml:space="preserve">food service businesses have more and varied sources of </w:t>
      </w:r>
      <w:r>
        <w:t xml:space="preserve">food </w:t>
      </w:r>
      <w:r w:rsidR="37CE33B8">
        <w:t xml:space="preserve">contamination </w:t>
      </w:r>
      <w:r w:rsidR="005C14C3">
        <w:t>and</w:t>
      </w:r>
      <w:r w:rsidR="37CE33B8">
        <w:t xml:space="preserve"> </w:t>
      </w:r>
      <w:r w:rsidR="00695F47">
        <w:t>additional challenges in managing</w:t>
      </w:r>
      <w:r w:rsidR="37CE33B8">
        <w:t xml:space="preserve"> bacterial growth and survival. </w:t>
      </w:r>
    </w:p>
    <w:p w14:paraId="46B2C0F5" w14:textId="77777777" w:rsidR="000677F6" w:rsidRDefault="000A7805" w:rsidP="002C7827">
      <w:pPr>
        <w:pStyle w:val="ListParagraph"/>
        <w:numPr>
          <w:ilvl w:val="0"/>
          <w:numId w:val="98"/>
        </w:numPr>
        <w:spacing w:after="240"/>
      </w:pPr>
      <w:r w:rsidRPr="004E059A">
        <w:t xml:space="preserve">To reduce </w:t>
      </w:r>
      <w:r w:rsidRPr="00A64761">
        <w:t>foodborne</w:t>
      </w:r>
      <w:r w:rsidRPr="004E059A">
        <w:t xml:space="preserve"> illness, interventions must be </w:t>
      </w:r>
      <w:r w:rsidR="0006673F" w:rsidRPr="004E059A">
        <w:t>targeted</w:t>
      </w:r>
      <w:r w:rsidR="0006673F">
        <w:t xml:space="preserve"> and</w:t>
      </w:r>
      <w:r w:rsidR="0006673F" w:rsidRPr="004E059A">
        <w:t xml:space="preserve"> </w:t>
      </w:r>
      <w:r w:rsidRPr="004E059A">
        <w:t xml:space="preserve">multi-faceted to address </w:t>
      </w:r>
      <w:r w:rsidRPr="000677F6">
        <w:rPr>
          <w:lang w:val="en-US"/>
        </w:rPr>
        <w:t>multiple</w:t>
      </w:r>
      <w:r w:rsidRPr="004E059A">
        <w:t xml:space="preserve"> high-risk food handling activities</w:t>
      </w:r>
      <w:r w:rsidR="009755E4">
        <w:t xml:space="preserve"> </w:t>
      </w:r>
      <w:r w:rsidRPr="004E059A">
        <w:t xml:space="preserve">occurring in these sectors. </w:t>
      </w:r>
    </w:p>
    <w:p w14:paraId="2712B6F1" w14:textId="423255CF" w:rsidR="000A7805" w:rsidRDefault="6BD95185" w:rsidP="6285ED7A">
      <w:pPr>
        <w:pStyle w:val="ListParagraph"/>
        <w:numPr>
          <w:ilvl w:val="0"/>
          <w:numId w:val="98"/>
        </w:numPr>
        <w:spacing w:after="240"/>
      </w:pPr>
      <w:r w:rsidRPr="6285ED7A">
        <w:rPr>
          <w:lang w:val="en-US"/>
        </w:rPr>
        <w:t xml:space="preserve">Current food </w:t>
      </w:r>
      <w:r>
        <w:t>safety</w:t>
      </w:r>
      <w:r w:rsidRPr="6285ED7A">
        <w:rPr>
          <w:lang w:val="en-US"/>
        </w:rPr>
        <w:t xml:space="preserve"> requirements in the Australia New Zealand Food Standards Code (the Code) lay foundations for </w:t>
      </w:r>
      <w:r w:rsidR="5E91601C" w:rsidRPr="6285ED7A">
        <w:rPr>
          <w:lang w:val="en-US"/>
        </w:rPr>
        <w:t>producing</w:t>
      </w:r>
      <w:r w:rsidRPr="6285ED7A">
        <w:rPr>
          <w:lang w:val="en-US"/>
        </w:rPr>
        <w:t xml:space="preserve"> safe and suitable food. However, they </w:t>
      </w:r>
      <w:r w:rsidR="1802E210" w:rsidRPr="6285ED7A">
        <w:rPr>
          <w:lang w:val="en-US"/>
        </w:rPr>
        <w:t xml:space="preserve">alone </w:t>
      </w:r>
      <w:r w:rsidRPr="6285ED7A">
        <w:rPr>
          <w:lang w:val="en-US"/>
        </w:rPr>
        <w:t xml:space="preserve">are inadequate for these sectors, which are unique in preparing food to be served directly to the consumer for consumption without any further risk mitigation. </w:t>
      </w:r>
      <w:r w:rsidR="5E91601C" w:rsidRPr="6285ED7A">
        <w:rPr>
          <w:lang w:val="en-US"/>
        </w:rPr>
        <w:t>S</w:t>
      </w:r>
      <w:r w:rsidRPr="6285ED7A">
        <w:rPr>
          <w:lang w:val="en-US"/>
        </w:rPr>
        <w:t>ome jurisdictions have implemented additional regulatory measures to strengthe</w:t>
      </w:r>
      <w:r w:rsidR="17917256" w:rsidRPr="6285ED7A">
        <w:rPr>
          <w:lang w:val="en-US"/>
        </w:rPr>
        <w:t>n</w:t>
      </w:r>
      <w:r w:rsidRPr="6285ED7A">
        <w:rPr>
          <w:lang w:val="en-US"/>
        </w:rPr>
        <w:t xml:space="preserve"> national requirements, </w:t>
      </w:r>
      <w:r w:rsidR="5E91601C" w:rsidRPr="6285ED7A">
        <w:rPr>
          <w:lang w:val="en-US"/>
        </w:rPr>
        <w:t xml:space="preserve">but </w:t>
      </w:r>
      <w:r w:rsidR="17917256" w:rsidRPr="6285ED7A">
        <w:rPr>
          <w:lang w:val="en-US"/>
        </w:rPr>
        <w:t xml:space="preserve">their </w:t>
      </w:r>
      <w:r w:rsidRPr="6285ED7A">
        <w:rPr>
          <w:lang w:val="en-US"/>
        </w:rPr>
        <w:t>approaches are not consistent.</w:t>
      </w:r>
    </w:p>
    <w:p w14:paraId="1190666F" w14:textId="77777777" w:rsidR="006813E9" w:rsidRDefault="6BD95185" w:rsidP="008C7C0F">
      <w:pPr>
        <w:pStyle w:val="ListParagraph"/>
        <w:numPr>
          <w:ilvl w:val="0"/>
          <w:numId w:val="98"/>
        </w:numPr>
        <w:spacing w:after="240"/>
      </w:pPr>
      <w:r>
        <w:t xml:space="preserve">International approaches </w:t>
      </w:r>
      <w:r w:rsidRPr="006813E9">
        <w:rPr>
          <w:lang w:val="en-US"/>
        </w:rPr>
        <w:t xml:space="preserve">focus on preventing food safety issues. </w:t>
      </w:r>
      <w:r w:rsidR="06D69990">
        <w:t>G</w:t>
      </w:r>
      <w:r>
        <w:t xml:space="preserve">uidance from the Codex </w:t>
      </w:r>
      <w:r w:rsidR="06D69990">
        <w:t>Alimentarius</w:t>
      </w:r>
      <w:r w:rsidR="18739665">
        <w:t xml:space="preserve"> Commission</w:t>
      </w:r>
      <w:r w:rsidR="06D69990">
        <w:t xml:space="preserve"> </w:t>
      </w:r>
      <w:r>
        <w:t>recognises some food handling activities such as temperature control</w:t>
      </w:r>
      <w:r w:rsidR="17917256">
        <w:t>,</w:t>
      </w:r>
      <w:r>
        <w:t xml:space="preserve"> cleaning and sanitising require enhanced attention. </w:t>
      </w:r>
    </w:p>
    <w:p w14:paraId="61E5AEB7" w14:textId="70B602A5" w:rsidR="000A7805" w:rsidRDefault="37CE33B8" w:rsidP="008C7C0F">
      <w:pPr>
        <w:pStyle w:val="ListParagraph"/>
        <w:numPr>
          <w:ilvl w:val="0"/>
          <w:numId w:val="98"/>
        </w:numPr>
        <w:spacing w:after="240"/>
      </w:pPr>
      <w:r>
        <w:t xml:space="preserve">Australian jurisdictions with additional </w:t>
      </w:r>
      <w:r w:rsidR="4AC898DD">
        <w:t xml:space="preserve">food safety </w:t>
      </w:r>
      <w:r>
        <w:t>requirements (</w:t>
      </w:r>
      <w:bookmarkStart w:id="9" w:name="_Int_HdJSmr4K"/>
      <w:r>
        <w:t>i.e</w:t>
      </w:r>
      <w:bookmarkEnd w:id="9"/>
      <w:r w:rsidR="000677F6">
        <w:t>.</w:t>
      </w:r>
      <w:r>
        <w:t xml:space="preserve"> </w:t>
      </w:r>
      <w:r w:rsidR="4AC898DD">
        <w:t>FSS</w:t>
      </w:r>
      <w:r>
        <w:t xml:space="preserve"> and/or FHT)</w:t>
      </w:r>
      <w:r w:rsidR="67990591">
        <w:t xml:space="preserve"> </w:t>
      </w:r>
      <w:r>
        <w:t xml:space="preserve">have seen improved food safety behaviours. </w:t>
      </w:r>
    </w:p>
    <w:p w14:paraId="436C81B7" w14:textId="7A655405" w:rsidR="000A7805" w:rsidRDefault="000A7805" w:rsidP="002C7827">
      <w:pPr>
        <w:spacing w:after="240"/>
      </w:pPr>
      <w:r>
        <w:lastRenderedPageBreak/>
        <w:t xml:space="preserve">We considered stakeholder </w:t>
      </w:r>
      <w:r w:rsidR="00A64761">
        <w:t>feedback</w:t>
      </w:r>
      <w:r>
        <w:t xml:space="preserve"> </w:t>
      </w:r>
      <w:r w:rsidR="00A64761">
        <w:t>from</w:t>
      </w:r>
      <w:r>
        <w:t xml:space="preserve"> </w:t>
      </w:r>
      <w:r w:rsidR="00A64761">
        <w:t xml:space="preserve">targeted and public </w:t>
      </w:r>
      <w:r>
        <w:t>consultation</w:t>
      </w:r>
      <w:r w:rsidR="00A64761">
        <w:t>s</w:t>
      </w:r>
      <w:r>
        <w:t xml:space="preserve">. Stakeholders generally support </w:t>
      </w:r>
      <w:r w:rsidR="00A64761">
        <w:t xml:space="preserve">nationally consistent </w:t>
      </w:r>
      <w:r>
        <w:t xml:space="preserve">regulatory measures for food service businesses. There is agreement </w:t>
      </w:r>
      <w:r w:rsidR="00A64761">
        <w:t>on the need to improve</w:t>
      </w:r>
      <w:r>
        <w:t xml:space="preserve"> skills and knowledge in these sectors and </w:t>
      </w:r>
      <w:r w:rsidR="00A10151">
        <w:t>to place</w:t>
      </w:r>
      <w:r>
        <w:t xml:space="preserve"> greater emphasis on food safety controls to mitigate key risks. </w:t>
      </w:r>
      <w:r w:rsidR="00A10151">
        <w:t xml:space="preserve">Industry concerns focus on additional burden and costs </w:t>
      </w:r>
      <w:r w:rsidR="00695B46">
        <w:t>of</w:t>
      </w:r>
      <w:r w:rsidR="00A10151">
        <w:t xml:space="preserve"> implementation. Regulators (local council) express</w:t>
      </w:r>
      <w:r w:rsidR="00695B46">
        <w:t>ed</w:t>
      </w:r>
      <w:r w:rsidR="00A10151">
        <w:t xml:space="preserve"> concern </w:t>
      </w:r>
      <w:r w:rsidR="00695B46">
        <w:t>about</w:t>
      </w:r>
      <w:r w:rsidR="00A10151">
        <w:t xml:space="preserve"> </w:t>
      </w:r>
      <w:r w:rsidR="00695B46">
        <w:t xml:space="preserve">extra </w:t>
      </w:r>
      <w:r w:rsidR="00A10151">
        <w:t xml:space="preserve">time and effort </w:t>
      </w:r>
      <w:r w:rsidR="00695B46">
        <w:t xml:space="preserve">for implementation and </w:t>
      </w:r>
      <w:r w:rsidR="00A10151">
        <w:t>request</w:t>
      </w:r>
      <w:r w:rsidR="00695B46">
        <w:t>ed clear</w:t>
      </w:r>
      <w:r w:rsidR="00A10151">
        <w:t xml:space="preserve"> guidance.</w:t>
      </w:r>
    </w:p>
    <w:p w14:paraId="12675E37" w14:textId="3E179768" w:rsidR="000A7805" w:rsidRDefault="000A7805" w:rsidP="002C7827">
      <w:pPr>
        <w:spacing w:after="240"/>
      </w:pPr>
      <w:r>
        <w:t xml:space="preserve">FSANZ’s analysis indicates a risk-proportionate approach </w:t>
      </w:r>
      <w:r w:rsidR="00695B46">
        <w:t>to</w:t>
      </w:r>
      <w:r>
        <w:t xml:space="preserve"> additional food safety management tools provides a</w:t>
      </w:r>
      <w:r w:rsidR="009D0206">
        <w:t xml:space="preserve"> </w:t>
      </w:r>
      <w:r>
        <w:t xml:space="preserve">benefit. </w:t>
      </w:r>
      <w:r w:rsidR="00281162">
        <w:t>Targeted m</w:t>
      </w:r>
      <w:r>
        <w:t xml:space="preserve">easures aimed at </w:t>
      </w:r>
      <w:r w:rsidR="009755E4">
        <w:t xml:space="preserve">food safety </w:t>
      </w:r>
      <w:r>
        <w:t>knowledge</w:t>
      </w:r>
      <w:r w:rsidR="009755E4">
        <w:t xml:space="preserve"> and </w:t>
      </w:r>
      <w:r w:rsidR="00281162">
        <w:t>safe</w:t>
      </w:r>
      <w:r>
        <w:t xml:space="preserve"> food </w:t>
      </w:r>
      <w:r w:rsidRPr="39C13C05">
        <w:rPr>
          <w:lang w:val="en-US"/>
        </w:rPr>
        <w:t>handling</w:t>
      </w:r>
      <w:r>
        <w:t xml:space="preserve">—from initial receipt through all stages of processing, </w:t>
      </w:r>
      <w:bookmarkStart w:id="10" w:name="_Int_oCjmi30c"/>
      <w:r>
        <w:t>storage,</w:t>
      </w:r>
      <w:bookmarkEnd w:id="10"/>
      <w:r>
        <w:t xml:space="preserve"> and service to consumers—support </w:t>
      </w:r>
      <w:r w:rsidR="00281162">
        <w:t xml:space="preserve">a </w:t>
      </w:r>
      <w:r>
        <w:t>reduc</w:t>
      </w:r>
      <w:r w:rsidR="00281162">
        <w:t>tion in</w:t>
      </w:r>
      <w:r>
        <w:t xml:space="preserve"> risks</w:t>
      </w:r>
      <w:r w:rsidR="00281162">
        <w:t xml:space="preserve"> and </w:t>
      </w:r>
      <w:r w:rsidR="009755E4">
        <w:t xml:space="preserve">foodborne </w:t>
      </w:r>
      <w:r w:rsidR="00281162">
        <w:t>illness</w:t>
      </w:r>
      <w:r>
        <w:t xml:space="preserve">. </w:t>
      </w:r>
    </w:p>
    <w:p w14:paraId="439C5099" w14:textId="2E5BBC09" w:rsidR="000A7805" w:rsidRDefault="000A7805" w:rsidP="002C7827">
      <w:pPr>
        <w:rPr>
          <w:lang w:val="en-US"/>
        </w:rPr>
      </w:pPr>
      <w:r>
        <w:rPr>
          <w:b/>
          <w:lang w:val="en-US"/>
        </w:rPr>
        <w:t>Risk-proportionate</w:t>
      </w:r>
      <w:r w:rsidRPr="003E77E5">
        <w:rPr>
          <w:b/>
          <w:lang w:val="en-US"/>
        </w:rPr>
        <w:t xml:space="preserve"> </w:t>
      </w:r>
      <w:r>
        <w:rPr>
          <w:b/>
          <w:lang w:val="en-US"/>
        </w:rPr>
        <w:t>regulation</w:t>
      </w:r>
      <w:r>
        <w:rPr>
          <w:lang w:val="en-US"/>
        </w:rPr>
        <w:t xml:space="preserve"> </w:t>
      </w:r>
    </w:p>
    <w:p w14:paraId="70BF3AF1" w14:textId="1FDE9C85" w:rsidR="000A7805" w:rsidRDefault="37CE33B8" w:rsidP="002C7827">
      <w:pPr>
        <w:spacing w:after="240"/>
        <w:rPr>
          <w:lang w:val="en-US"/>
        </w:rPr>
      </w:pPr>
      <w:r w:rsidRPr="342FFC39">
        <w:rPr>
          <w:lang w:val="en-US"/>
        </w:rPr>
        <w:t>FSANZ grouped food service businesses into three broad categories</w:t>
      </w:r>
      <w:r w:rsidR="750595F5" w:rsidRPr="342FFC39">
        <w:rPr>
          <w:lang w:val="en-US"/>
        </w:rPr>
        <w:t xml:space="preserve"> (1-3)</w:t>
      </w:r>
      <w:r w:rsidRPr="342FFC39">
        <w:rPr>
          <w:lang w:val="en-US"/>
        </w:rPr>
        <w:t xml:space="preserve"> based on food safety risk</w:t>
      </w:r>
      <w:r w:rsidR="750595F5" w:rsidRPr="342FFC39">
        <w:rPr>
          <w:lang w:val="en-US"/>
        </w:rPr>
        <w:t>,</w:t>
      </w:r>
      <w:r w:rsidRPr="342FFC39">
        <w:rPr>
          <w:lang w:val="en-US"/>
        </w:rPr>
        <w:t xml:space="preserve"> and applied the proposed regulatory tools proportionate </w:t>
      </w:r>
      <w:r w:rsidR="35D8597B" w:rsidRPr="342FFC39">
        <w:rPr>
          <w:lang w:val="en-US"/>
        </w:rPr>
        <w:t xml:space="preserve">to </w:t>
      </w:r>
      <w:r w:rsidR="750595F5" w:rsidRPr="342FFC39">
        <w:rPr>
          <w:lang w:val="en-US"/>
        </w:rPr>
        <w:t xml:space="preserve">the assessed </w:t>
      </w:r>
      <w:r w:rsidR="35D8597B" w:rsidRPr="342FFC39">
        <w:rPr>
          <w:lang w:val="en-US"/>
        </w:rPr>
        <w:t>risk</w:t>
      </w:r>
      <w:r w:rsidRPr="342FFC39">
        <w:rPr>
          <w:lang w:val="en-US"/>
        </w:rPr>
        <w:t xml:space="preserve">. </w:t>
      </w:r>
      <w:r w:rsidR="35D8597B" w:rsidRPr="342FFC39">
        <w:rPr>
          <w:lang w:eastAsia="en-AU" w:bidi="ar-SA"/>
        </w:rPr>
        <w:t>B</w:t>
      </w:r>
      <w:r w:rsidRPr="342FFC39">
        <w:rPr>
          <w:lang w:eastAsia="en-AU" w:bidi="ar-SA"/>
        </w:rPr>
        <w:t>usinesses with higher risks have more stringent requirements and more tools to manage their risks.</w:t>
      </w:r>
    </w:p>
    <w:p w14:paraId="78FC3EB1" w14:textId="36D148FF" w:rsidR="37CE33B8" w:rsidRDefault="37CE33B8" w:rsidP="002C7827">
      <w:pPr>
        <w:spacing w:after="240"/>
        <w:rPr>
          <w:rFonts w:eastAsia="Arial"/>
        </w:rPr>
      </w:pPr>
      <w:r>
        <w:t>Category 1</w:t>
      </w:r>
      <w:r w:rsidR="1484005B">
        <w:t xml:space="preserve"> businesses are f</w:t>
      </w:r>
      <w:r>
        <w:t>ood service businesses</w:t>
      </w:r>
      <w:r w:rsidR="2AEBFF71">
        <w:t xml:space="preserve"> who make and serve PHF</w:t>
      </w:r>
      <w:r>
        <w:t>, such as caterers, restaurants, takeaways and retailers</w:t>
      </w:r>
      <w:r w:rsidR="35D8597B">
        <w:t xml:space="preserve">. </w:t>
      </w:r>
      <w:r w:rsidR="750595F5">
        <w:t>A</w:t>
      </w:r>
      <w:r>
        <w:t>s these businesses are associated with the highest food safety risks</w:t>
      </w:r>
      <w:r w:rsidR="750595F5">
        <w:t>, t</w:t>
      </w:r>
      <w:r>
        <w:t xml:space="preserve">hree </w:t>
      </w:r>
      <w:r w:rsidR="1484005B">
        <w:t xml:space="preserve">new </w:t>
      </w:r>
      <w:r>
        <w:t xml:space="preserve">regulatory measures for food safety management (FSS, FHT and E) are considered appropriate. </w:t>
      </w:r>
    </w:p>
    <w:p w14:paraId="52EB2042" w14:textId="31846A29" w:rsidR="37CE33B8" w:rsidRDefault="37CE33B8" w:rsidP="002C7827">
      <w:pPr>
        <w:spacing w:after="240"/>
      </w:pPr>
      <w:r>
        <w:t>Category 2</w:t>
      </w:r>
      <w:r w:rsidR="1484005B">
        <w:t xml:space="preserve"> businesses are r</w:t>
      </w:r>
      <w:r>
        <w:t xml:space="preserve">etailers of unpackaged ready-to-eat PHF. Two </w:t>
      </w:r>
      <w:r w:rsidR="1484005B">
        <w:t xml:space="preserve">new </w:t>
      </w:r>
      <w:r>
        <w:t xml:space="preserve">regulatory </w:t>
      </w:r>
      <w:r w:rsidR="1484005B">
        <w:t>measures</w:t>
      </w:r>
      <w:r>
        <w:t xml:space="preserve"> (FSS and FHT) are considered appropriate for </w:t>
      </w:r>
      <w:r w:rsidR="35D8597B">
        <w:t>these</w:t>
      </w:r>
      <w:r>
        <w:t xml:space="preserve"> businesses. </w:t>
      </w:r>
    </w:p>
    <w:p w14:paraId="1A5EC392" w14:textId="613F9C36" w:rsidR="37CE33B8" w:rsidRDefault="37CE33B8" w:rsidP="002C7827">
      <w:pPr>
        <w:spacing w:after="240"/>
      </w:pPr>
      <w:r>
        <w:t>Category 3</w:t>
      </w:r>
      <w:r w:rsidR="1484005B">
        <w:t xml:space="preserve"> businesses are r</w:t>
      </w:r>
      <w:r>
        <w:t xml:space="preserve">etailers of pre-packaged ready-to-eat </w:t>
      </w:r>
      <w:r w:rsidR="1484005B">
        <w:t>PHF that</w:t>
      </w:r>
      <w:r>
        <w:t xml:space="preserve"> remains packaged during sale. </w:t>
      </w:r>
      <w:r w:rsidR="750595F5">
        <w:t>Considered lower risk, n</w:t>
      </w:r>
      <w:r>
        <w:t xml:space="preserve">o new regulatory measures </w:t>
      </w:r>
      <w:r w:rsidR="1484005B">
        <w:t>are</w:t>
      </w:r>
      <w:r>
        <w:t xml:space="preserve"> </w:t>
      </w:r>
      <w:r w:rsidR="750595F5">
        <w:t xml:space="preserve">to </w:t>
      </w:r>
      <w:r>
        <w:t xml:space="preserve">be applied to these businesses. </w:t>
      </w:r>
    </w:p>
    <w:p w14:paraId="531FEA03" w14:textId="77777777" w:rsidR="000A7805" w:rsidRDefault="000A7805" w:rsidP="002C7827">
      <w:pPr>
        <w:rPr>
          <w:b/>
          <w:lang w:val="en-US"/>
        </w:rPr>
      </w:pPr>
      <w:r w:rsidRPr="00960F39">
        <w:rPr>
          <w:b/>
          <w:lang w:val="en-US"/>
        </w:rPr>
        <w:t>Non-regulatory tools</w:t>
      </w:r>
    </w:p>
    <w:p w14:paraId="549075F0" w14:textId="1CDE531E" w:rsidR="000A7805" w:rsidRDefault="005B1D89" w:rsidP="002C7827">
      <w:pPr>
        <w:spacing w:after="240"/>
      </w:pPr>
      <w:r>
        <w:t>N</w:t>
      </w:r>
      <w:r w:rsidRPr="00960F39">
        <w:t>on-regulatory tools that focus on food safety culture and education</w:t>
      </w:r>
      <w:r>
        <w:t xml:space="preserve"> will apply to each </w:t>
      </w:r>
      <w:r w:rsidRPr="00960F39">
        <w:rPr>
          <w:lang w:val="en-US"/>
        </w:rPr>
        <w:t xml:space="preserve">category, </w:t>
      </w:r>
      <w:r>
        <w:rPr>
          <w:lang w:val="en-US"/>
        </w:rPr>
        <w:t xml:space="preserve">and further </w:t>
      </w:r>
      <w:r>
        <w:t xml:space="preserve">support the </w:t>
      </w:r>
      <w:r w:rsidRPr="00960F39">
        <w:t>regulatory measures</w:t>
      </w:r>
      <w:r>
        <w:t>.</w:t>
      </w:r>
      <w:r w:rsidR="000A7805" w:rsidRPr="00960F39">
        <w:t xml:space="preserve"> For example, an education campaign </w:t>
      </w:r>
      <w:r w:rsidR="00855A32" w:rsidRPr="00960F39">
        <w:t xml:space="preserve">on </w:t>
      </w:r>
      <w:r w:rsidR="00855A32">
        <w:t xml:space="preserve">PHF </w:t>
      </w:r>
      <w:r w:rsidR="00855A32" w:rsidRPr="00960F39">
        <w:t xml:space="preserve">storage and display temperature </w:t>
      </w:r>
      <w:r w:rsidR="00855A32">
        <w:t xml:space="preserve">could be </w:t>
      </w:r>
      <w:r w:rsidR="000A7805">
        <w:t>targeted at C</w:t>
      </w:r>
      <w:r w:rsidR="000A7805" w:rsidRPr="00960F39">
        <w:t>ategory 3 businesses</w:t>
      </w:r>
      <w:r w:rsidR="000A7805">
        <w:t xml:space="preserve">. </w:t>
      </w:r>
      <w:r w:rsidR="00855A32">
        <w:t>Existing t</w:t>
      </w:r>
      <w:r w:rsidR="000A7805" w:rsidRPr="00960F39">
        <w:t xml:space="preserve">emplates to </w:t>
      </w:r>
      <w:r w:rsidR="00855A32">
        <w:t>help</w:t>
      </w:r>
      <w:r w:rsidR="000A7805" w:rsidRPr="00960F39">
        <w:t xml:space="preserve"> businesses </w:t>
      </w:r>
      <w:r w:rsidR="00855A32">
        <w:t>manage</w:t>
      </w:r>
      <w:r w:rsidR="000A7805" w:rsidRPr="00960F39">
        <w:t xml:space="preserve"> temperature controls could be </w:t>
      </w:r>
      <w:r w:rsidR="00855A32">
        <w:t xml:space="preserve">promoted for </w:t>
      </w:r>
      <w:r w:rsidR="000A7805">
        <w:t>C</w:t>
      </w:r>
      <w:r w:rsidR="000A7805" w:rsidRPr="00960F39">
        <w:t xml:space="preserve">ategory </w:t>
      </w:r>
      <w:r w:rsidR="000A7805">
        <w:t>1</w:t>
      </w:r>
      <w:r w:rsidR="000A7805" w:rsidRPr="00960F39">
        <w:t xml:space="preserve"> businesses to </w:t>
      </w:r>
      <w:r w:rsidR="00EC53EA">
        <w:t xml:space="preserve">use to </w:t>
      </w:r>
      <w:r w:rsidR="000A7805" w:rsidRPr="00960F39">
        <w:t xml:space="preserve">meet the </w:t>
      </w:r>
      <w:r w:rsidR="000A7805">
        <w:t xml:space="preserve">proposed </w:t>
      </w:r>
      <w:r w:rsidR="00855A32">
        <w:t xml:space="preserve">E </w:t>
      </w:r>
      <w:r w:rsidR="000A7805" w:rsidRPr="00960F39">
        <w:t>requirement.</w:t>
      </w:r>
      <w:r w:rsidR="000A7805">
        <w:t xml:space="preserve"> </w:t>
      </w:r>
    </w:p>
    <w:p w14:paraId="0A3EE772" w14:textId="7D10B246" w:rsidR="000A7805" w:rsidRPr="009755E4" w:rsidRDefault="000A7805" w:rsidP="002C7827">
      <w:pPr>
        <w:rPr>
          <w:b/>
        </w:rPr>
      </w:pPr>
      <w:r w:rsidRPr="004E64E4">
        <w:rPr>
          <w:b/>
        </w:rPr>
        <w:t xml:space="preserve">Risk management </w:t>
      </w:r>
    </w:p>
    <w:p w14:paraId="2A41C8F2" w14:textId="2A183617" w:rsidR="000A7805" w:rsidRDefault="000A7805" w:rsidP="002C7827">
      <w:pPr>
        <w:spacing w:after="240"/>
        <w:rPr>
          <w:rFonts w:eastAsia="Calibri"/>
        </w:rPr>
      </w:pPr>
      <w:r w:rsidRPr="4BF32F5B">
        <w:rPr>
          <w:color w:val="000000" w:themeColor="text1"/>
        </w:rPr>
        <w:t>W</w:t>
      </w:r>
      <w:r w:rsidRPr="4BF32F5B">
        <w:rPr>
          <w:lang w:val="en-US"/>
        </w:rPr>
        <w:t xml:space="preserve">e </w:t>
      </w:r>
      <w:r>
        <w:t>considered several options, including the status quo, self-regulation and application of the regulatory and non-regulatory measures.</w:t>
      </w:r>
      <w:r w:rsidR="00AA05EC">
        <w:t xml:space="preserve"> Following assessment </w:t>
      </w:r>
      <w:r w:rsidR="009640F1">
        <w:t xml:space="preserve">in accordance with the </w:t>
      </w:r>
      <w:r w:rsidR="00CD3835">
        <w:t>above Act</w:t>
      </w:r>
      <w:r w:rsidR="009640F1">
        <w:t xml:space="preserve">, </w:t>
      </w:r>
      <w:r w:rsidR="00CD3835">
        <w:t xml:space="preserve">including </w:t>
      </w:r>
      <w:r w:rsidR="009640F1">
        <w:t xml:space="preserve">having regard to </w:t>
      </w:r>
      <w:r w:rsidR="00AA05EC">
        <w:t>the best available evidence and relevant information, FSANZ’s</w:t>
      </w:r>
      <w:r w:rsidR="00AA05EC" w:rsidRPr="4BF32F5B">
        <w:rPr>
          <w:lang w:val="en-US"/>
        </w:rPr>
        <w:t xml:space="preserve"> decision </w:t>
      </w:r>
      <w:r w:rsidR="005E07CB" w:rsidRPr="4BF32F5B">
        <w:rPr>
          <w:lang w:val="en-US"/>
        </w:rPr>
        <w:t xml:space="preserve">was </w:t>
      </w:r>
      <w:r w:rsidR="00AA05EC" w:rsidRPr="4BF32F5B">
        <w:rPr>
          <w:lang w:val="en-US"/>
        </w:rPr>
        <w:t xml:space="preserve">to </w:t>
      </w:r>
      <w:r w:rsidR="003475F7" w:rsidRPr="4BF32F5B">
        <w:rPr>
          <w:lang w:val="en-US"/>
        </w:rPr>
        <w:t>approve a</w:t>
      </w:r>
      <w:r w:rsidR="003475F7">
        <w:t xml:space="preserve"> draft </w:t>
      </w:r>
      <w:r w:rsidR="00AA05EC">
        <w:t xml:space="preserve">standard in Chapter 3 and a </w:t>
      </w:r>
      <w:r w:rsidR="003475F7">
        <w:t xml:space="preserve">draft </w:t>
      </w:r>
      <w:r w:rsidR="00AA05EC">
        <w:t>consequential variation.</w:t>
      </w:r>
    </w:p>
    <w:p w14:paraId="3BA05A2B" w14:textId="13E6CC28" w:rsidR="000A7805" w:rsidRDefault="35D8597B" w:rsidP="002C7827">
      <w:pPr>
        <w:spacing w:after="240"/>
      </w:pPr>
      <w:r>
        <w:t xml:space="preserve">The </w:t>
      </w:r>
      <w:r w:rsidR="73277BC9" w:rsidRPr="342FFC39">
        <w:rPr>
          <w:lang w:val="en-US"/>
        </w:rPr>
        <w:t>new</w:t>
      </w:r>
      <w:r w:rsidR="37CE33B8" w:rsidRPr="342FFC39">
        <w:rPr>
          <w:lang w:val="en-US"/>
        </w:rPr>
        <w:t xml:space="preserve"> regulatory measures </w:t>
      </w:r>
      <w:r w:rsidR="41000EAC" w:rsidRPr="342FFC39">
        <w:rPr>
          <w:lang w:val="en-US"/>
        </w:rPr>
        <w:t xml:space="preserve">in the approved draft standard </w:t>
      </w:r>
      <w:r w:rsidRPr="342FFC39">
        <w:rPr>
          <w:lang w:val="en-US"/>
        </w:rPr>
        <w:t xml:space="preserve">apply </w:t>
      </w:r>
      <w:r w:rsidR="37CE33B8" w:rsidRPr="342FFC39">
        <w:rPr>
          <w:lang w:val="en-US"/>
        </w:rPr>
        <w:t>to certain food service businesses</w:t>
      </w:r>
      <w:r w:rsidR="73277BC9" w:rsidRPr="342FFC39">
        <w:rPr>
          <w:lang w:val="en-US"/>
        </w:rPr>
        <w:t xml:space="preserve"> </w:t>
      </w:r>
      <w:r w:rsidR="37CE33B8" w:rsidRPr="342FFC39">
        <w:rPr>
          <w:lang w:val="en-US"/>
        </w:rPr>
        <w:t xml:space="preserve">in a </w:t>
      </w:r>
      <w:r w:rsidR="73277BC9" w:rsidRPr="342FFC39">
        <w:rPr>
          <w:lang w:val="en-US"/>
        </w:rPr>
        <w:t>risk-proportionate</w:t>
      </w:r>
      <w:r w:rsidR="73277BC9">
        <w:t xml:space="preserve"> </w:t>
      </w:r>
      <w:r w:rsidR="37CE33B8" w:rsidRPr="342FFC39">
        <w:rPr>
          <w:lang w:val="en-US"/>
        </w:rPr>
        <w:t>manner</w:t>
      </w:r>
      <w:r>
        <w:t xml:space="preserve"> and enhance existing baseline requirements</w:t>
      </w:r>
      <w:r w:rsidR="73277BC9">
        <w:t xml:space="preserve">. </w:t>
      </w:r>
      <w:r>
        <w:t xml:space="preserve">They focus on improving businesses’ food safety skills, knowledge and practices, based on </w:t>
      </w:r>
      <w:r w:rsidR="00AA05EC">
        <w:t>our knowledge</w:t>
      </w:r>
      <w:r>
        <w:t xml:space="preserve"> of which foods and their hazards are significant contributors to illness from these sectors. </w:t>
      </w:r>
      <w:r w:rsidR="73277BC9">
        <w:t>We</w:t>
      </w:r>
      <w:r w:rsidR="37CE33B8">
        <w:t xml:space="preserve"> </w:t>
      </w:r>
      <w:r w:rsidR="37CE33B8" w:rsidRPr="342FFC39">
        <w:rPr>
          <w:lang w:val="en-US"/>
        </w:rPr>
        <w:t xml:space="preserve">consider </w:t>
      </w:r>
      <w:r w:rsidR="73277BC9" w:rsidRPr="342FFC39">
        <w:rPr>
          <w:lang w:val="en-US"/>
        </w:rPr>
        <w:t>the</w:t>
      </w:r>
      <w:r w:rsidR="37CE33B8" w:rsidRPr="342FFC39">
        <w:rPr>
          <w:lang w:val="en-US"/>
        </w:rPr>
        <w:t xml:space="preserve"> new requirements are </w:t>
      </w:r>
      <w:r w:rsidR="37CE33B8">
        <w:t xml:space="preserve">practical, sustainable and readily implementable. </w:t>
      </w:r>
    </w:p>
    <w:p w14:paraId="1F2BFB23" w14:textId="23EF3066" w:rsidR="00C836FF" w:rsidRDefault="00AA05EC" w:rsidP="002C7827">
      <w:pPr>
        <w:spacing w:after="240"/>
      </w:pPr>
      <w:r>
        <w:rPr>
          <w:lang w:bidi="ar-SA"/>
        </w:rPr>
        <w:t>The</w:t>
      </w:r>
      <w:r w:rsidR="000A7805" w:rsidRPr="00A36546">
        <w:rPr>
          <w:lang w:bidi="ar-SA"/>
        </w:rPr>
        <w:t xml:space="preserve"> </w:t>
      </w:r>
      <w:r w:rsidR="000A7805">
        <w:rPr>
          <w:lang w:bidi="ar-SA"/>
        </w:rPr>
        <w:t xml:space="preserve">approved </w:t>
      </w:r>
      <w:r w:rsidR="00EC53EA">
        <w:rPr>
          <w:lang w:bidi="ar-SA"/>
        </w:rPr>
        <w:t xml:space="preserve">draft standard </w:t>
      </w:r>
      <w:r w:rsidR="000A7805">
        <w:t>will apply only in Australia and</w:t>
      </w:r>
      <w:r w:rsidR="000A7805" w:rsidRPr="00A36546">
        <w:rPr>
          <w:lang w:bidi="ar-SA"/>
        </w:rPr>
        <w:t xml:space="preserve"> </w:t>
      </w:r>
      <w:r w:rsidR="00EC53EA">
        <w:rPr>
          <w:lang w:bidi="ar-SA"/>
        </w:rPr>
        <w:t>is</w:t>
      </w:r>
      <w:r w:rsidR="000A7805" w:rsidRPr="00A36546">
        <w:rPr>
          <w:lang w:bidi="ar-SA"/>
        </w:rPr>
        <w:t xml:space="preserve"> to commence 12 months after gazettal. </w:t>
      </w:r>
      <w:r w:rsidR="00C836FF">
        <w:br w:type="page"/>
      </w:r>
    </w:p>
    <w:p w14:paraId="754E1E1E" w14:textId="0314061F" w:rsidR="007A53BF" w:rsidRDefault="007A53BF" w:rsidP="00614AF5">
      <w:pPr>
        <w:pStyle w:val="Heading1"/>
        <w:numPr>
          <w:ilvl w:val="0"/>
          <w:numId w:val="4"/>
        </w:numPr>
      </w:pPr>
      <w:bookmarkStart w:id="11" w:name="_Toc300933417"/>
      <w:bookmarkStart w:id="12" w:name="_Toc370223464"/>
      <w:bookmarkStart w:id="13" w:name="_Toc109300401"/>
      <w:r w:rsidRPr="007A53BF">
        <w:lastRenderedPageBreak/>
        <w:t>Introduction</w:t>
      </w:r>
      <w:bookmarkEnd w:id="11"/>
      <w:bookmarkEnd w:id="12"/>
      <w:bookmarkEnd w:id="13"/>
    </w:p>
    <w:p w14:paraId="4E38127B" w14:textId="369AB7F5" w:rsidR="00883203" w:rsidRDefault="00883203" w:rsidP="4BF32F5B">
      <w:pPr>
        <w:spacing w:after="240"/>
        <w:rPr>
          <w:rFonts w:cs="Arial"/>
        </w:rPr>
      </w:pPr>
      <w:r>
        <w:t>This proposal was prepared to review food safety risks i</w:t>
      </w:r>
      <w:r w:rsidRPr="4BF32F5B">
        <w:rPr>
          <w:lang w:eastAsia="en-AU" w:bidi="ar-SA"/>
        </w:rPr>
        <w:t>n food service and closely related retail sectors</w:t>
      </w:r>
      <w:r w:rsidR="00E32625" w:rsidRPr="4BF32F5B">
        <w:rPr>
          <w:lang w:eastAsia="en-AU" w:bidi="ar-SA"/>
        </w:rPr>
        <w:t xml:space="preserve"> </w:t>
      </w:r>
      <w:r w:rsidRPr="4BF32F5B">
        <w:rPr>
          <w:lang w:eastAsia="en-AU" w:bidi="ar-SA"/>
        </w:rPr>
        <w:t xml:space="preserve">and to determine </w:t>
      </w:r>
      <w:r>
        <w:t>whether amendments to the Australia New Zealand Food Standards Code (the Code) are required to manage these risks</w:t>
      </w:r>
      <w:r w:rsidRPr="4BF32F5B">
        <w:rPr>
          <w:rFonts w:cs="Arial"/>
        </w:rPr>
        <w:t xml:space="preserve">. </w:t>
      </w:r>
    </w:p>
    <w:p w14:paraId="569B02CE" w14:textId="43DEAA78" w:rsidR="00DC14FC" w:rsidRPr="00DC14FC" w:rsidRDefault="39F4E25D" w:rsidP="0096592A">
      <w:pPr>
        <w:spacing w:after="240"/>
        <w:rPr>
          <w:color w:val="000000"/>
        </w:rPr>
      </w:pPr>
      <w:r>
        <w:rPr>
          <w:color w:val="000000"/>
        </w:rPr>
        <w:t>This proposal builds on a significant body of work already undertaken within the food regulatory system</w:t>
      </w:r>
      <w:r w:rsidR="40A99FC8">
        <w:rPr>
          <w:color w:val="000000"/>
        </w:rPr>
        <w:t>,</w:t>
      </w:r>
      <w:r>
        <w:rPr>
          <w:color w:val="000000"/>
        </w:rPr>
        <w:t xml:space="preserve"> </w:t>
      </w:r>
      <w:r w:rsidR="73A06282">
        <w:rPr>
          <w:color w:val="000000"/>
        </w:rPr>
        <w:t xml:space="preserve">primarily by </w:t>
      </w:r>
      <w:r w:rsidR="61735CF9">
        <w:rPr>
          <w:color w:val="000000"/>
        </w:rPr>
        <w:t>a</w:t>
      </w:r>
      <w:r w:rsidR="73A06282">
        <w:rPr>
          <w:color w:val="000000"/>
        </w:rPr>
        <w:t xml:space="preserve"> national Food Safety Management Working Group (FSMWG)</w:t>
      </w:r>
      <w:r w:rsidR="61735CF9">
        <w:rPr>
          <w:color w:val="000000"/>
        </w:rPr>
        <w:t xml:space="preserve"> comprised of regulators from each jurisdiction</w:t>
      </w:r>
      <w:r w:rsidR="73A06282">
        <w:rPr>
          <w:color w:val="000000"/>
        </w:rPr>
        <w:t xml:space="preserve">. That work </w:t>
      </w:r>
      <w:r>
        <w:rPr>
          <w:color w:val="000000"/>
        </w:rPr>
        <w:t xml:space="preserve">identified </w:t>
      </w:r>
      <w:r w:rsidR="73A06282">
        <w:rPr>
          <w:color w:val="000000"/>
        </w:rPr>
        <w:t xml:space="preserve">specific </w:t>
      </w:r>
      <w:r>
        <w:rPr>
          <w:color w:val="000000"/>
        </w:rPr>
        <w:t xml:space="preserve">measures to </w:t>
      </w:r>
      <w:r w:rsidR="40A99FC8">
        <w:rPr>
          <w:color w:val="000000"/>
        </w:rPr>
        <w:t xml:space="preserve">better </w:t>
      </w:r>
      <w:r>
        <w:rPr>
          <w:color w:val="000000"/>
        </w:rPr>
        <w:t>manage food safety risks</w:t>
      </w:r>
      <w:r w:rsidRPr="0056309A">
        <w:rPr>
          <w:color w:val="000000"/>
        </w:rPr>
        <w:t xml:space="preserve"> </w:t>
      </w:r>
      <w:r>
        <w:rPr>
          <w:color w:val="000000"/>
        </w:rPr>
        <w:t>in the food service and retail sectors</w:t>
      </w:r>
      <w:r w:rsidR="77133D94">
        <w:rPr>
          <w:color w:val="000000"/>
        </w:rPr>
        <w:t xml:space="preserve">, summarised in our </w:t>
      </w:r>
      <w:r w:rsidR="00003CCC">
        <w:rPr>
          <w:color w:val="000000"/>
        </w:rPr>
        <w:t>decision</w:t>
      </w:r>
      <w:r w:rsidR="77133D94">
        <w:rPr>
          <w:color w:val="000000"/>
        </w:rPr>
        <w:t xml:space="preserve"> Regulation Impact Statement </w:t>
      </w:r>
      <w:r w:rsidR="77133D94" w:rsidRPr="008962CE">
        <w:rPr>
          <w:color w:val="000000"/>
        </w:rPr>
        <w:t>(</w:t>
      </w:r>
      <w:r w:rsidR="00003CCC">
        <w:rPr>
          <w:color w:val="000000"/>
        </w:rPr>
        <w:t>D</w:t>
      </w:r>
      <w:r w:rsidR="77133D94" w:rsidRPr="00003CCC">
        <w:t>RIS</w:t>
      </w:r>
      <w:r w:rsidR="77133D94">
        <w:rPr>
          <w:color w:val="000000"/>
        </w:rPr>
        <w:t>)</w:t>
      </w:r>
      <w:r w:rsidR="00003CCC">
        <w:rPr>
          <w:color w:val="000000"/>
        </w:rPr>
        <w:t xml:space="preserve"> (</w:t>
      </w:r>
      <w:hyperlink w:anchor="_Attachment_C_–" w:history="1">
        <w:r w:rsidR="00003CCC" w:rsidRPr="006B11F0">
          <w:rPr>
            <w:rStyle w:val="Hyperlink"/>
          </w:rPr>
          <w:t>attachment C</w:t>
        </w:r>
      </w:hyperlink>
      <w:r w:rsidR="00003CCC">
        <w:rPr>
          <w:color w:val="000000"/>
        </w:rPr>
        <w:t xml:space="preserve"> to this report)</w:t>
      </w:r>
      <w:r w:rsidR="77133D94">
        <w:rPr>
          <w:color w:val="000000"/>
        </w:rPr>
        <w:t xml:space="preserve">. </w:t>
      </w:r>
      <w:r w:rsidRPr="342FFC39">
        <w:rPr>
          <w:rFonts w:eastAsiaTheme="minorEastAsia" w:cs="Arial"/>
        </w:rPr>
        <w:t xml:space="preserve">Food safety management in these sectors remains a priority for food regulation and is </w:t>
      </w:r>
      <w:r w:rsidR="41000EAC" w:rsidRPr="342FFC39">
        <w:rPr>
          <w:rFonts w:eastAsiaTheme="minorEastAsia" w:cs="Arial"/>
        </w:rPr>
        <w:t>a focus area of</w:t>
      </w:r>
      <w:r w:rsidRPr="342FFC39">
        <w:rPr>
          <w:rFonts w:eastAsiaTheme="minorEastAsia" w:cs="Arial"/>
        </w:rPr>
        <w:t xml:space="preserve"> </w:t>
      </w:r>
      <w:hyperlink r:id="rId24" w:history="1">
        <w:r w:rsidRPr="342FFC39">
          <w:rPr>
            <w:rStyle w:val="Hyperlink"/>
            <w:rFonts w:eastAsiaTheme="minorEastAsia" w:cs="Arial"/>
          </w:rPr>
          <w:t>Australia’s National Foodborne Illness Reduction Strategy 2018-2021+</w:t>
        </w:r>
      </w:hyperlink>
      <w:r w:rsidR="00DC14FC" w:rsidRPr="342FFC39">
        <w:rPr>
          <w:rStyle w:val="FootnoteReference"/>
          <w:rFonts w:eastAsiaTheme="minorEastAsia" w:cs="Arial"/>
        </w:rPr>
        <w:footnoteReference w:id="2"/>
      </w:r>
      <w:r w:rsidRPr="342FFC39">
        <w:rPr>
          <w:rFonts w:eastAsiaTheme="minorEastAsia" w:cs="Arial"/>
        </w:rPr>
        <w:t xml:space="preserve">. </w:t>
      </w:r>
    </w:p>
    <w:p w14:paraId="4ACF311D" w14:textId="7071056C" w:rsidR="007A53BF" w:rsidRPr="007A53BF" w:rsidRDefault="00DC14FC" w:rsidP="0096592A">
      <w:pPr>
        <w:pStyle w:val="Heading2"/>
      </w:pPr>
      <w:bookmarkStart w:id="14" w:name="_Toc300761891"/>
      <w:bookmarkStart w:id="15" w:name="_Toc300933420"/>
      <w:bookmarkStart w:id="16" w:name="_Toc370223466"/>
      <w:bookmarkStart w:id="17" w:name="_Toc109300402"/>
      <w:r>
        <w:t>Reasons for preparing t</w:t>
      </w:r>
      <w:r w:rsidR="007A53BF" w:rsidRPr="007A53BF">
        <w:t xml:space="preserve">he </w:t>
      </w:r>
      <w:bookmarkEnd w:id="14"/>
      <w:r w:rsidR="00191F1B" w:rsidRPr="00191F1B">
        <w:t>p</w:t>
      </w:r>
      <w:r w:rsidR="007A53BF" w:rsidRPr="00191F1B">
        <w:t>roposal</w:t>
      </w:r>
      <w:bookmarkEnd w:id="15"/>
      <w:bookmarkEnd w:id="16"/>
      <w:bookmarkEnd w:id="17"/>
    </w:p>
    <w:p w14:paraId="5E7AB616" w14:textId="5ED38D9C" w:rsidR="00DC14FC" w:rsidRDefault="39F4E25D" w:rsidP="0096592A">
      <w:pPr>
        <w:spacing w:after="240"/>
        <w:rPr>
          <w:color w:val="000000"/>
        </w:rPr>
      </w:pPr>
      <w:bookmarkStart w:id="18" w:name="_Toc300761892"/>
      <w:bookmarkStart w:id="19" w:name="_Toc300933421"/>
      <w:bookmarkStart w:id="20" w:name="_Toc370223467"/>
      <w:r w:rsidRPr="342FFC39">
        <w:rPr>
          <w:color w:val="000000" w:themeColor="text1"/>
        </w:rPr>
        <w:t xml:space="preserve">Ministers </w:t>
      </w:r>
      <w:r w:rsidR="73A06282" w:rsidRPr="342FFC39">
        <w:rPr>
          <w:rFonts w:cs="Arial"/>
        </w:rPr>
        <w:t xml:space="preserve">responsible for food regulation </w:t>
      </w:r>
      <w:r w:rsidRPr="342FFC39">
        <w:rPr>
          <w:color w:val="000000" w:themeColor="text1"/>
        </w:rPr>
        <w:t xml:space="preserve">requested FSANZ review several food safety measures </w:t>
      </w:r>
      <w:r w:rsidR="2AEBFF71" w:rsidRPr="342FFC39">
        <w:rPr>
          <w:color w:val="000000" w:themeColor="text1"/>
        </w:rPr>
        <w:t xml:space="preserve">for these sectors </w:t>
      </w:r>
      <w:r w:rsidR="41000EAC" w:rsidRPr="342FFC39">
        <w:rPr>
          <w:color w:val="000000" w:themeColor="text1"/>
        </w:rPr>
        <w:t xml:space="preserve">put forward </w:t>
      </w:r>
      <w:r w:rsidR="498D6368" w:rsidRPr="342FFC39">
        <w:rPr>
          <w:color w:val="000000" w:themeColor="text1"/>
        </w:rPr>
        <w:t>by the FSMWG</w:t>
      </w:r>
      <w:r w:rsidRPr="342FFC39">
        <w:rPr>
          <w:color w:val="000000" w:themeColor="text1"/>
        </w:rPr>
        <w:t>.</w:t>
      </w:r>
      <w:r w:rsidR="73A06282" w:rsidRPr="342FFC39">
        <w:rPr>
          <w:color w:val="000000" w:themeColor="text1"/>
        </w:rPr>
        <w:t xml:space="preserve"> The review was requested in response to continued and significant foodborne illness attributed to the </w:t>
      </w:r>
      <w:r w:rsidR="41000EAC" w:rsidRPr="342FFC39">
        <w:rPr>
          <w:color w:val="000000" w:themeColor="text1"/>
        </w:rPr>
        <w:t xml:space="preserve">food service </w:t>
      </w:r>
      <w:r w:rsidR="73A06282" w:rsidRPr="342FFC39">
        <w:rPr>
          <w:color w:val="000000" w:themeColor="text1"/>
        </w:rPr>
        <w:t>sectors</w:t>
      </w:r>
      <w:r w:rsidR="72DE5238" w:rsidRPr="342FFC39">
        <w:rPr>
          <w:color w:val="000000" w:themeColor="text1"/>
        </w:rPr>
        <w:t>, including a cost to the economy of approximately $1.6 billion per year</w:t>
      </w:r>
      <w:r w:rsidR="73A06282" w:rsidRPr="342FFC39">
        <w:rPr>
          <w:color w:val="000000" w:themeColor="text1"/>
        </w:rPr>
        <w:t>.</w:t>
      </w:r>
      <w:r w:rsidRPr="342FFC39">
        <w:rPr>
          <w:color w:val="000000" w:themeColor="text1"/>
        </w:rPr>
        <w:t xml:space="preserve"> </w:t>
      </w:r>
      <w:r w:rsidR="378FA437" w:rsidRPr="342FFC39">
        <w:rPr>
          <w:color w:val="000000" w:themeColor="text1"/>
        </w:rPr>
        <w:t>This illness has been linked to particular food handling activities</w:t>
      </w:r>
      <w:r w:rsidR="61735CF9" w:rsidRPr="342FFC39">
        <w:rPr>
          <w:color w:val="000000" w:themeColor="text1"/>
        </w:rPr>
        <w:t xml:space="preserve"> (see section</w:t>
      </w:r>
      <w:r w:rsidR="17098DB1" w:rsidRPr="342FFC39">
        <w:rPr>
          <w:color w:val="000000" w:themeColor="text1"/>
        </w:rPr>
        <w:t xml:space="preserve"> </w:t>
      </w:r>
      <w:r w:rsidR="0A200A64" w:rsidRPr="342FFC39">
        <w:rPr>
          <w:color w:val="000000" w:themeColor="text1"/>
        </w:rPr>
        <w:t>2.2</w:t>
      </w:r>
      <w:r w:rsidR="17098DB1" w:rsidRPr="342FFC39">
        <w:rPr>
          <w:color w:val="000000" w:themeColor="text1"/>
        </w:rPr>
        <w:t xml:space="preserve"> and our </w:t>
      </w:r>
      <w:hyperlink r:id="rId25">
        <w:r w:rsidR="080A7446" w:rsidRPr="342FFC39">
          <w:rPr>
            <w:rStyle w:val="Hyperlink"/>
          </w:rPr>
          <w:t>Microbiological Risk Profile</w:t>
        </w:r>
      </w:hyperlink>
      <w:r w:rsidR="41000EAC" w:rsidRPr="342FFC39">
        <w:rPr>
          <w:color w:val="000000" w:themeColor="text1"/>
        </w:rPr>
        <w:t>)</w:t>
      </w:r>
      <w:r w:rsidR="378FA437" w:rsidRPr="342FFC39">
        <w:rPr>
          <w:color w:val="000000" w:themeColor="text1"/>
        </w:rPr>
        <w:t xml:space="preserve">, and indicates a failure to adequately </w:t>
      </w:r>
      <w:r w:rsidR="61735CF9" w:rsidRPr="342FFC39">
        <w:rPr>
          <w:color w:val="000000" w:themeColor="text1"/>
        </w:rPr>
        <w:t>manage</w:t>
      </w:r>
      <w:r w:rsidR="378FA437" w:rsidRPr="342FFC39">
        <w:rPr>
          <w:color w:val="000000" w:themeColor="text1"/>
        </w:rPr>
        <w:t xml:space="preserve"> </w:t>
      </w:r>
      <w:r w:rsidR="61735CF9" w:rsidRPr="342FFC39">
        <w:rPr>
          <w:color w:val="000000" w:themeColor="text1"/>
        </w:rPr>
        <w:t xml:space="preserve">critical </w:t>
      </w:r>
      <w:r w:rsidR="378FA437" w:rsidRPr="342FFC39">
        <w:rPr>
          <w:color w:val="000000" w:themeColor="text1"/>
        </w:rPr>
        <w:t xml:space="preserve">food safety </w:t>
      </w:r>
      <w:r w:rsidR="61735CF9" w:rsidRPr="342FFC39">
        <w:rPr>
          <w:color w:val="000000" w:themeColor="text1"/>
        </w:rPr>
        <w:t>risks</w:t>
      </w:r>
      <w:r w:rsidR="378FA437" w:rsidRPr="342FFC39">
        <w:rPr>
          <w:color w:val="000000" w:themeColor="text1"/>
        </w:rPr>
        <w:t xml:space="preserve">. </w:t>
      </w:r>
    </w:p>
    <w:p w14:paraId="6744A848" w14:textId="50065B50" w:rsidR="00DC14FC" w:rsidRDefault="00442F15" w:rsidP="0096592A">
      <w:pPr>
        <w:spacing w:after="240"/>
        <w:rPr>
          <w:color w:val="000000"/>
        </w:rPr>
      </w:pPr>
      <w:r>
        <w:t xml:space="preserve">FSANZ’s primary objective is protecting public health and safety. </w:t>
      </w:r>
      <w:r w:rsidR="00DC14FC">
        <w:t>FSANZ commenced p</w:t>
      </w:r>
      <w:r w:rsidR="00DC14FC" w:rsidRPr="005D3E40">
        <w:t>roposal P1053 in July 2019</w:t>
      </w:r>
      <w:r w:rsidR="00DC14FC">
        <w:t>,</w:t>
      </w:r>
      <w:r w:rsidR="00DC14FC" w:rsidRPr="005D3E40">
        <w:t xml:space="preserve"> to consider </w:t>
      </w:r>
      <w:r w:rsidR="00DC14FC">
        <w:t xml:space="preserve">amending the Code to include three </w:t>
      </w:r>
      <w:r w:rsidR="00DC14FC">
        <w:rPr>
          <w:color w:val="000000"/>
        </w:rPr>
        <w:t>additional regulatory measures</w:t>
      </w:r>
      <w:r w:rsidR="00DC14FC" w:rsidRPr="007310CF">
        <w:rPr>
          <w:color w:val="000000"/>
        </w:rPr>
        <w:t xml:space="preserve"> </w:t>
      </w:r>
      <w:r>
        <w:rPr>
          <w:color w:val="000000"/>
        </w:rPr>
        <w:t>to strengthen food safety management</w:t>
      </w:r>
      <w:r w:rsidR="0017240C">
        <w:rPr>
          <w:color w:val="000000"/>
        </w:rPr>
        <w:t xml:space="preserve"> in</w:t>
      </w:r>
      <w:r>
        <w:rPr>
          <w:color w:val="000000"/>
        </w:rPr>
        <w:t xml:space="preserve"> </w:t>
      </w:r>
      <w:r w:rsidR="00DC14FC">
        <w:rPr>
          <w:color w:val="000000"/>
        </w:rPr>
        <w:t>the</w:t>
      </w:r>
      <w:r w:rsidR="00EC53EA">
        <w:rPr>
          <w:color w:val="000000"/>
        </w:rPr>
        <w:t xml:space="preserve"> food service</w:t>
      </w:r>
      <w:r w:rsidR="00DC14FC">
        <w:rPr>
          <w:color w:val="000000"/>
        </w:rPr>
        <w:t xml:space="preserve"> sectors. </w:t>
      </w:r>
    </w:p>
    <w:p w14:paraId="12467B0D" w14:textId="77777777" w:rsidR="00DC14FC" w:rsidRPr="00DC14FC" w:rsidRDefault="00DC14FC" w:rsidP="0096592A">
      <w:pPr>
        <w:pStyle w:val="Heading2"/>
      </w:pPr>
      <w:bookmarkStart w:id="21" w:name="_Toc94172644"/>
      <w:bookmarkStart w:id="22" w:name="_Toc109300403"/>
      <w:r w:rsidRPr="00DC14FC">
        <w:t>Scope of the proposal</w:t>
      </w:r>
      <w:bookmarkEnd w:id="21"/>
      <w:bookmarkEnd w:id="22"/>
    </w:p>
    <w:p w14:paraId="78E245AB" w14:textId="1EC0AF07" w:rsidR="00AF762E" w:rsidRDefault="00DC14FC" w:rsidP="0096592A">
      <w:pPr>
        <w:tabs>
          <w:tab w:val="left" w:pos="546"/>
          <w:tab w:val="right" w:pos="10200"/>
        </w:tabs>
        <w:spacing w:after="240"/>
      </w:pPr>
      <w:r>
        <w:t>Consistent with the Ministerial request, P1053 assessed the application of three specific regulatory tools to food service and related retail businesses that handle unpackaged and ready</w:t>
      </w:r>
      <w:r w:rsidR="0017240C">
        <w:t>-</w:t>
      </w:r>
      <w:r>
        <w:t>to</w:t>
      </w:r>
      <w:r w:rsidR="0017240C">
        <w:t>-</w:t>
      </w:r>
      <w:r>
        <w:t>eat potentially hazardous food (PHF).</w:t>
      </w:r>
      <w:r w:rsidR="00AF762E">
        <w:t xml:space="preserve"> These tools are a </w:t>
      </w:r>
      <w:r w:rsidR="00381B88">
        <w:t>food safety supervisor</w:t>
      </w:r>
      <w:r w:rsidR="00EC53EA">
        <w:t xml:space="preserve"> (FSS)</w:t>
      </w:r>
      <w:r w:rsidR="00AF762E">
        <w:t>, food handler training</w:t>
      </w:r>
      <w:r w:rsidR="00381B88">
        <w:t>/knowledge</w:t>
      </w:r>
      <w:r w:rsidR="00EC53EA">
        <w:t xml:space="preserve"> (FHT)</w:t>
      </w:r>
      <w:r w:rsidR="00381B88">
        <w:t>,</w:t>
      </w:r>
      <w:r w:rsidR="00AF762E">
        <w:t xml:space="preserve"> and evidence keeping </w:t>
      </w:r>
      <w:r w:rsidR="00EC53EA">
        <w:t>(E)</w:t>
      </w:r>
      <w:r w:rsidR="0065399C">
        <w:t xml:space="preserve"> </w:t>
      </w:r>
      <w:r w:rsidR="00AF762E">
        <w:t>to substantiate management of identified high-risk activities.</w:t>
      </w:r>
      <w:r>
        <w:t xml:space="preserve"> </w:t>
      </w:r>
    </w:p>
    <w:p w14:paraId="34EB57F9" w14:textId="5BE77C7A" w:rsidR="00DC14FC" w:rsidRPr="002D40F3" w:rsidRDefault="00DC14FC" w:rsidP="0096592A">
      <w:pPr>
        <w:tabs>
          <w:tab w:val="left" w:pos="546"/>
          <w:tab w:val="right" w:pos="10200"/>
        </w:tabs>
        <w:spacing w:after="240"/>
      </w:pPr>
      <w:r>
        <w:t xml:space="preserve">While FSANZ proposals focus on regulatory interventions, non-regulatory </w:t>
      </w:r>
      <w:r w:rsidR="0017240C">
        <w:t xml:space="preserve">measures to </w:t>
      </w:r>
      <w:r>
        <w:t xml:space="preserve">support the </w:t>
      </w:r>
      <w:r w:rsidR="0017240C">
        <w:t xml:space="preserve">uptake and implementation of </w:t>
      </w:r>
      <w:r>
        <w:t xml:space="preserve">regulatory </w:t>
      </w:r>
      <w:r w:rsidR="0017240C">
        <w:t xml:space="preserve">tools </w:t>
      </w:r>
      <w:r>
        <w:t>were also considered in this proposal.</w:t>
      </w:r>
    </w:p>
    <w:p w14:paraId="18D3B48E" w14:textId="3AF9B581" w:rsidR="00DC14FC" w:rsidRPr="00DC14FC" w:rsidRDefault="39F4E25D" w:rsidP="0096592A">
      <w:pPr>
        <w:spacing w:after="240"/>
        <w:rPr>
          <w:lang w:eastAsia="en-AU"/>
        </w:rPr>
      </w:pPr>
      <w:r w:rsidRPr="6D88C429">
        <w:rPr>
          <w:lang w:eastAsia="en-AU"/>
        </w:rPr>
        <w:t xml:space="preserve">Other issues including allergen management, new technologies and technical issues (e.g. duplication of </w:t>
      </w:r>
      <w:r>
        <w:t>definitions)</w:t>
      </w:r>
      <w:r w:rsidRPr="6D88C429">
        <w:rPr>
          <w:lang w:eastAsia="en-AU"/>
        </w:rPr>
        <w:t xml:space="preserve"> will be considered as part of </w:t>
      </w:r>
      <w:r w:rsidR="73A06282" w:rsidRPr="6D88C429">
        <w:rPr>
          <w:lang w:eastAsia="en-AU"/>
        </w:rPr>
        <w:t xml:space="preserve">FSANZ’s </w:t>
      </w:r>
      <w:r w:rsidRPr="6D88C429">
        <w:rPr>
          <w:lang w:eastAsia="en-AU"/>
        </w:rPr>
        <w:t>wider review of Chapter 3 of the Code</w:t>
      </w:r>
      <w:r w:rsidR="00B44545">
        <w:rPr>
          <w:rStyle w:val="FootnoteReference"/>
          <w:lang w:eastAsia="en-AU"/>
        </w:rPr>
        <w:footnoteReference w:id="3"/>
      </w:r>
      <w:r w:rsidRPr="6D88C429">
        <w:rPr>
          <w:lang w:eastAsia="en-AU"/>
        </w:rPr>
        <w:t>.</w:t>
      </w:r>
    </w:p>
    <w:p w14:paraId="424A4468" w14:textId="752247E1" w:rsidR="007A53BF" w:rsidRPr="007A53BF" w:rsidRDefault="007A53BF" w:rsidP="0096592A">
      <w:pPr>
        <w:pStyle w:val="Heading2"/>
      </w:pPr>
      <w:bookmarkStart w:id="23" w:name="_Toc109300404"/>
      <w:r w:rsidRPr="007A53BF">
        <w:t xml:space="preserve">The current </w:t>
      </w:r>
      <w:r w:rsidR="00191F1B">
        <w:t>s</w:t>
      </w:r>
      <w:r w:rsidRPr="007A53BF">
        <w:t>tandard</w:t>
      </w:r>
      <w:bookmarkEnd w:id="18"/>
      <w:bookmarkEnd w:id="19"/>
      <w:bookmarkEnd w:id="20"/>
      <w:bookmarkEnd w:id="23"/>
    </w:p>
    <w:p w14:paraId="4C26EB48" w14:textId="2B60ABAB" w:rsidR="00DC14FC" w:rsidRDefault="39F4E25D" w:rsidP="0096592A">
      <w:pPr>
        <w:spacing w:after="240"/>
        <w:rPr>
          <w:lang w:eastAsia="en-AU"/>
        </w:rPr>
      </w:pPr>
      <w:r>
        <w:t>Current food safety standards in Chapter 3 of the Code (particularly Standard 3.2.2) provide</w:t>
      </w:r>
      <w:r w:rsidR="7A2F3305">
        <w:t xml:space="preserve"> foundational</w:t>
      </w:r>
      <w:r>
        <w:t xml:space="preserve"> </w:t>
      </w:r>
      <w:r w:rsidR="625EBC59">
        <w:t xml:space="preserve">food safety and </w:t>
      </w:r>
      <w:r>
        <w:t xml:space="preserve">hygiene requirements for food businesses in Australia. These standards aim to lower the incidence of foodborne illness by placing obligations on all food businesses to ensure only safe and suitable food is sold. The standards </w:t>
      </w:r>
      <w:r w:rsidR="7A2F3305">
        <w:t>are broad and were not developed to target the unique</w:t>
      </w:r>
      <w:r>
        <w:t xml:space="preserve"> risks associated with the food service </w:t>
      </w:r>
      <w:r w:rsidRPr="342FFC39">
        <w:rPr>
          <w:lang w:eastAsia="en-AU"/>
        </w:rPr>
        <w:t>sectors.</w:t>
      </w:r>
    </w:p>
    <w:p w14:paraId="362F2711" w14:textId="0E5468C9" w:rsidR="007A53BF" w:rsidRPr="00DC14FC" w:rsidRDefault="39F4E25D" w:rsidP="0096592A">
      <w:pPr>
        <w:spacing w:after="240"/>
        <w:rPr>
          <w:lang w:eastAsia="en-AU"/>
        </w:rPr>
      </w:pPr>
      <w:r w:rsidRPr="342FFC39">
        <w:rPr>
          <w:lang w:eastAsia="en-AU"/>
        </w:rPr>
        <w:lastRenderedPageBreak/>
        <w:t>Current</w:t>
      </w:r>
      <w:r w:rsidR="3CF2C39A" w:rsidRPr="342FFC39">
        <w:rPr>
          <w:lang w:eastAsia="en-AU"/>
        </w:rPr>
        <w:t>ly</w:t>
      </w:r>
      <w:r w:rsidRPr="342FFC39">
        <w:rPr>
          <w:lang w:eastAsia="en-AU"/>
        </w:rPr>
        <w:t xml:space="preserve"> food safety requirements specific to food service sectors </w:t>
      </w:r>
      <w:r w:rsidR="3CF2C39A" w:rsidRPr="342FFC39">
        <w:rPr>
          <w:lang w:eastAsia="en-AU"/>
        </w:rPr>
        <w:t>are</w:t>
      </w:r>
      <w:r w:rsidRPr="342FFC39">
        <w:rPr>
          <w:lang w:eastAsia="en-AU"/>
        </w:rPr>
        <w:t xml:space="preserve"> nationally inconsistent. Over time, with foodborne illness still occurring, some states and territories </w:t>
      </w:r>
      <w:r w:rsidR="3CF2C39A" w:rsidRPr="342FFC39">
        <w:rPr>
          <w:lang w:eastAsia="en-AU"/>
        </w:rPr>
        <w:t xml:space="preserve">have </w:t>
      </w:r>
      <w:r w:rsidRPr="342FFC39">
        <w:rPr>
          <w:lang w:eastAsia="en-AU"/>
        </w:rPr>
        <w:t>introduced additional food safety management requirements in food service/retail settings. Further detail is provided in</w:t>
      </w:r>
      <w:r w:rsidR="00003CCC">
        <w:rPr>
          <w:lang w:eastAsia="en-AU"/>
        </w:rPr>
        <w:t xml:space="preserve"> our DRIS (attachment C</w:t>
      </w:r>
      <w:r w:rsidR="3CF2C39A" w:rsidRPr="342FFC39">
        <w:rPr>
          <w:lang w:eastAsia="en-AU"/>
        </w:rPr>
        <w:t>).</w:t>
      </w:r>
    </w:p>
    <w:p w14:paraId="2F6AD256" w14:textId="7820BD03" w:rsidR="007A53BF" w:rsidRPr="007A53BF" w:rsidRDefault="007A53BF" w:rsidP="0096592A">
      <w:pPr>
        <w:pStyle w:val="Heading2"/>
      </w:pPr>
      <w:bookmarkStart w:id="24" w:name="_Toc370223469"/>
      <w:bookmarkStart w:id="25" w:name="_Toc109300405"/>
      <w:r w:rsidRPr="007A53BF">
        <w:t>Procedure for assessment</w:t>
      </w:r>
      <w:bookmarkEnd w:id="24"/>
      <w:bookmarkEnd w:id="25"/>
    </w:p>
    <w:p w14:paraId="3013F2ED" w14:textId="5F4BFD56" w:rsidR="00AF397D" w:rsidRPr="00191F1B" w:rsidRDefault="00AF397D" w:rsidP="0096592A">
      <w:pPr>
        <w:spacing w:after="240"/>
      </w:pPr>
      <w:r w:rsidRPr="00191F1B">
        <w:t xml:space="preserve">The </w:t>
      </w:r>
      <w:r w:rsidR="00191F1B" w:rsidRPr="00191F1B">
        <w:t>p</w:t>
      </w:r>
      <w:r w:rsidRPr="00191F1B">
        <w:t xml:space="preserve">roposal was assessed under </w:t>
      </w:r>
      <w:r w:rsidR="00372D0A">
        <w:t>FSANZ’s</w:t>
      </w:r>
      <w:r w:rsidR="00372D0A" w:rsidRPr="00191F1B">
        <w:t xml:space="preserve"> </w:t>
      </w:r>
      <w:r w:rsidRPr="00191F1B">
        <w:t>General P</w:t>
      </w:r>
      <w:r w:rsidR="00191F1B">
        <w:t>rocedure</w:t>
      </w:r>
      <w:r w:rsidR="00372D0A">
        <w:t>,</w:t>
      </w:r>
      <w:r w:rsidR="00191F1B">
        <w:t xml:space="preserve"> with one round of </w:t>
      </w:r>
      <w:r w:rsidR="00DC14FC">
        <w:t xml:space="preserve">statutory </w:t>
      </w:r>
      <w:r w:rsidR="00191F1B">
        <w:t>public comment on the proposed draft standard</w:t>
      </w:r>
      <w:r w:rsidR="0078337E">
        <w:t xml:space="preserve"> and the consequential variation. To support the assessment, FSANZ also consulted </w:t>
      </w:r>
      <w:r w:rsidR="00293B14">
        <w:t xml:space="preserve">with stakeholders </w:t>
      </w:r>
      <w:r w:rsidR="0078337E">
        <w:t xml:space="preserve">through </w:t>
      </w:r>
      <w:r w:rsidR="00191F1B">
        <w:t>two discussion papers</w:t>
      </w:r>
      <w:r w:rsidR="0078337E">
        <w:t xml:space="preserve"> and a targeted </w:t>
      </w:r>
      <w:r w:rsidR="00372D0A">
        <w:t xml:space="preserve">food business </w:t>
      </w:r>
      <w:r w:rsidR="0078337E">
        <w:t>survey</w:t>
      </w:r>
      <w:r w:rsidR="00191F1B">
        <w:t>.</w:t>
      </w:r>
    </w:p>
    <w:p w14:paraId="085B4518" w14:textId="59CB330F" w:rsidR="00422EC9" w:rsidRDefault="00422EC9" w:rsidP="0096592A">
      <w:pPr>
        <w:pStyle w:val="Heading2"/>
      </w:pPr>
      <w:bookmarkStart w:id="26" w:name="_Toc109300406"/>
      <w:r w:rsidRPr="00932F14">
        <w:t>Decision</w:t>
      </w:r>
      <w:bookmarkEnd w:id="26"/>
    </w:p>
    <w:p w14:paraId="33161780" w14:textId="3EF9F8E4" w:rsidR="00E32625" w:rsidRDefault="000E6C19" w:rsidP="0096592A">
      <w:pPr>
        <w:spacing w:after="240"/>
      </w:pPr>
      <w:r>
        <w:t xml:space="preserve">FSANZ’s decision is that additional regulatory measures are needed to effectively manage food safety risks in the food service sectors. </w:t>
      </w:r>
      <w:r w:rsidR="00852286">
        <w:t xml:space="preserve">These measures are a new food safety standard </w:t>
      </w:r>
      <w:r w:rsidR="00DC2CEA">
        <w:t xml:space="preserve">in Chapter 3 </w:t>
      </w:r>
      <w:r w:rsidR="0037014C">
        <w:t>(</w:t>
      </w:r>
      <w:r w:rsidR="00DC2CEA">
        <w:t xml:space="preserve">containing the </w:t>
      </w:r>
      <w:r w:rsidR="0037014C">
        <w:t xml:space="preserve">three food safety management tools) </w:t>
      </w:r>
      <w:r w:rsidR="00852286">
        <w:t xml:space="preserve">and a consequential variation to the Code. </w:t>
      </w:r>
      <w:r w:rsidR="0037014C">
        <w:t>Both t</w:t>
      </w:r>
      <w:r w:rsidR="00422EC9">
        <w:t xml:space="preserve">he draft </w:t>
      </w:r>
      <w:r w:rsidR="00E30092">
        <w:t xml:space="preserve">standard </w:t>
      </w:r>
      <w:r w:rsidR="0078337E">
        <w:t>and consequential variation</w:t>
      </w:r>
      <w:r w:rsidR="00852286">
        <w:t xml:space="preserve"> were</w:t>
      </w:r>
      <w:r w:rsidR="00422EC9">
        <w:t xml:space="preserve"> proposed </w:t>
      </w:r>
      <w:r w:rsidR="00852286">
        <w:t>in our Call for submissions (</w:t>
      </w:r>
      <w:r w:rsidR="00A2312A">
        <w:t>CFS)</w:t>
      </w:r>
      <w:r w:rsidR="00852286">
        <w:t>.</w:t>
      </w:r>
    </w:p>
    <w:p w14:paraId="35805A56" w14:textId="22E77621" w:rsidR="005401A6" w:rsidRDefault="00852286" w:rsidP="0096592A">
      <w:pPr>
        <w:spacing w:after="240"/>
      </w:pPr>
      <w:r>
        <w:t xml:space="preserve">FSANZ assessed stakeholder </w:t>
      </w:r>
      <w:r w:rsidR="00EE359E">
        <w:t>responses</w:t>
      </w:r>
      <w:r>
        <w:t xml:space="preserve"> and data and</w:t>
      </w:r>
      <w:r w:rsidR="00422EC9">
        <w:t xml:space="preserve"> </w:t>
      </w:r>
      <w:r>
        <w:t xml:space="preserve">decided to </w:t>
      </w:r>
      <w:r w:rsidR="00422EC9">
        <w:t xml:space="preserve">approve </w:t>
      </w:r>
      <w:r>
        <w:t xml:space="preserve">the draft standard and consequential variation </w:t>
      </w:r>
      <w:r w:rsidR="00422EC9" w:rsidRPr="0031346D">
        <w:t>without change</w:t>
      </w:r>
      <w:r w:rsidR="00422EC9">
        <w:t>.</w:t>
      </w:r>
      <w:r w:rsidR="002C1A3B">
        <w:t xml:space="preserve"> </w:t>
      </w:r>
      <w:r w:rsidR="002C1A3B" w:rsidRPr="003A7725">
        <w:t>The</w:t>
      </w:r>
      <w:r>
        <w:t xml:space="preserve">se </w:t>
      </w:r>
      <w:r w:rsidR="00A2312A">
        <w:t xml:space="preserve">regulatory </w:t>
      </w:r>
      <w:r>
        <w:t>measures</w:t>
      </w:r>
      <w:r w:rsidR="002C1A3B" w:rsidRPr="003A7725">
        <w:t xml:space="preserve"> </w:t>
      </w:r>
      <w:r>
        <w:t xml:space="preserve">will </w:t>
      </w:r>
      <w:r w:rsidR="00191F1B">
        <w:t xml:space="preserve">take effect </w:t>
      </w:r>
      <w:r>
        <w:t>12 months after gazettal</w:t>
      </w:r>
      <w:r w:rsidR="00191F1B">
        <w:t xml:space="preserve">. </w:t>
      </w:r>
    </w:p>
    <w:p w14:paraId="26EBA19E" w14:textId="06797506" w:rsidR="002C1A3B" w:rsidRDefault="00422EC9" w:rsidP="0096592A">
      <w:pPr>
        <w:spacing w:after="240"/>
      </w:pPr>
      <w:r>
        <w:t xml:space="preserve">The </w:t>
      </w:r>
      <w:r w:rsidR="002C1A3B">
        <w:t xml:space="preserve">approved </w:t>
      </w:r>
      <w:r>
        <w:t xml:space="preserve">draft </w:t>
      </w:r>
      <w:r w:rsidR="00191F1B" w:rsidRPr="00191F1B">
        <w:t>standard</w:t>
      </w:r>
      <w:r w:rsidR="0078337E">
        <w:t xml:space="preserve"> and the consequential variation</w:t>
      </w:r>
      <w:r w:rsidR="00117BBF">
        <w:t xml:space="preserve"> </w:t>
      </w:r>
      <w:r w:rsidR="005E06C0">
        <w:t xml:space="preserve">is </w:t>
      </w:r>
      <w:r>
        <w:t xml:space="preserve">at </w:t>
      </w:r>
      <w:r w:rsidRPr="007C22CB">
        <w:t xml:space="preserve">Attachment A. </w:t>
      </w:r>
      <w:r w:rsidR="005E06C0">
        <w:t xml:space="preserve">The </w:t>
      </w:r>
      <w:r w:rsidR="00401ADE">
        <w:t xml:space="preserve">related explanatory statement </w:t>
      </w:r>
      <w:r w:rsidR="005E06C0">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117BBF">
        <w:t xml:space="preserve">. </w:t>
      </w:r>
    </w:p>
    <w:p w14:paraId="651E5A36" w14:textId="47F6721F" w:rsidR="005401A6" w:rsidRPr="00117BBF" w:rsidRDefault="005401A6" w:rsidP="0096592A">
      <w:pPr>
        <w:spacing w:after="240"/>
      </w:pPr>
      <w:r>
        <w:t xml:space="preserve">Non-regulatory measures </w:t>
      </w:r>
      <w:r w:rsidR="00A2312A">
        <w:t xml:space="preserve">including guidance </w:t>
      </w:r>
      <w:r>
        <w:t xml:space="preserve">will be developed to support awareness and uptake of the approved draft standard, in collaboration with regulators and industry. </w:t>
      </w:r>
    </w:p>
    <w:p w14:paraId="01CB88D1" w14:textId="1DD31418" w:rsidR="0012388D" w:rsidRDefault="69772BA5" w:rsidP="0096592A">
      <w:pPr>
        <w:pStyle w:val="Heading1"/>
        <w:ind w:left="0" w:firstLine="0"/>
      </w:pPr>
      <w:bookmarkStart w:id="27" w:name="_Toc109300407"/>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r>
        <w:t xml:space="preserve">Summary of </w:t>
      </w:r>
      <w:r w:rsidR="772EC2BD">
        <w:t>the proposal assessment</w:t>
      </w:r>
      <w:bookmarkEnd w:id="27"/>
    </w:p>
    <w:p w14:paraId="45B6ADDE" w14:textId="554179FD" w:rsidR="005E1ACF" w:rsidRPr="005E1ACF" w:rsidRDefault="005E1ACF" w:rsidP="0096592A">
      <w:pPr>
        <w:spacing w:after="240"/>
      </w:pPr>
      <w:r>
        <w:rPr>
          <w:lang w:bidi="ar-SA"/>
        </w:rPr>
        <w:t xml:space="preserve">FSANZ assessed and decided the proposal in accordance with the </w:t>
      </w:r>
      <w:hyperlink r:id="rId26" w:history="1">
        <w:r w:rsidR="0052310C" w:rsidRPr="0052310C">
          <w:rPr>
            <w:rStyle w:val="Hyperlink"/>
            <w:i/>
            <w:lang w:bidi="ar-SA"/>
          </w:rPr>
          <w:t>Food Standards Australia N</w:t>
        </w:r>
        <w:r w:rsidRPr="0096592A">
          <w:rPr>
            <w:rStyle w:val="Hyperlink"/>
            <w:i/>
          </w:rPr>
          <w:t>ew Zealand Act 1991</w:t>
        </w:r>
        <w:r w:rsidRPr="0052310C">
          <w:rPr>
            <w:rStyle w:val="Hyperlink"/>
            <w:lang w:bidi="ar-SA"/>
          </w:rPr>
          <w:t xml:space="preserve"> (</w:t>
        </w:r>
        <w:proofErr w:type="spellStart"/>
      </w:hyperlink>
      <w:r>
        <w:rPr>
          <w:lang w:bidi="ar-SA"/>
        </w:rPr>
        <w:t>Cth</w:t>
      </w:r>
      <w:proofErr w:type="spellEnd"/>
      <w:r>
        <w:rPr>
          <w:lang w:bidi="ar-SA"/>
        </w:rPr>
        <w:t xml:space="preserve">) (the FSANZ Act).  </w:t>
      </w:r>
      <w:r w:rsidR="0052310C">
        <w:rPr>
          <w:lang w:bidi="ar-SA"/>
        </w:rPr>
        <w:t>FSANZ’s</w:t>
      </w:r>
      <w:r>
        <w:rPr>
          <w:lang w:bidi="ar-SA"/>
        </w:rPr>
        <w:t xml:space="preserve"> assessment is summarised below and detailed in the Support</w:t>
      </w:r>
      <w:r w:rsidR="0052310C">
        <w:rPr>
          <w:lang w:bidi="ar-SA"/>
        </w:rPr>
        <w:t>ing</w:t>
      </w:r>
      <w:r>
        <w:rPr>
          <w:lang w:bidi="ar-SA"/>
        </w:rPr>
        <w:t xml:space="preserve"> Documents to the CFS and this report.</w:t>
      </w:r>
    </w:p>
    <w:p w14:paraId="784C7903" w14:textId="2D0FE921" w:rsidR="007A53BF" w:rsidRDefault="0EE40C9C" w:rsidP="0096592A">
      <w:pPr>
        <w:pStyle w:val="Heading2"/>
      </w:pPr>
      <w:bookmarkStart w:id="34" w:name="_Toc300933438"/>
      <w:bookmarkStart w:id="35" w:name="_Toc370223471"/>
      <w:bookmarkStart w:id="36" w:name="_Toc370225386"/>
      <w:bookmarkStart w:id="37" w:name="_Toc109300408"/>
      <w:bookmarkStart w:id="38" w:name="_Toc286391009"/>
      <w:bookmarkStart w:id="39" w:name="_Toc300933425"/>
      <w:bookmarkStart w:id="40" w:name="_Toc309291838"/>
      <w:bookmarkStart w:id="41" w:name="_Toc309385455"/>
      <w:bookmarkStart w:id="42" w:name="_Toc120358583"/>
      <w:bookmarkStart w:id="43" w:name="_Toc175381440"/>
      <w:r>
        <w:t>S</w:t>
      </w:r>
      <w:bookmarkEnd w:id="34"/>
      <w:bookmarkEnd w:id="35"/>
      <w:bookmarkEnd w:id="36"/>
      <w:r w:rsidR="772EC2BD">
        <w:t>takeholder views</w:t>
      </w:r>
      <w:bookmarkEnd w:id="37"/>
    </w:p>
    <w:p w14:paraId="07D5D6BE" w14:textId="7874207B" w:rsidR="00B52B60" w:rsidRDefault="59B2606D" w:rsidP="0096592A">
      <w:pPr>
        <w:spacing w:after="240"/>
        <w:rPr>
          <w:lang w:val="en-AU"/>
        </w:rPr>
      </w:pPr>
      <w:r w:rsidRPr="342FFC39">
        <w:rPr>
          <w:rFonts w:cs="Arial"/>
        </w:rPr>
        <w:t xml:space="preserve">FSANZ has engaged with </w:t>
      </w:r>
      <w:r w:rsidR="246306DC" w:rsidRPr="342FFC39">
        <w:rPr>
          <w:rFonts w:cs="Arial"/>
        </w:rPr>
        <w:t xml:space="preserve">government and industry </w:t>
      </w:r>
      <w:r w:rsidRPr="342FFC39">
        <w:rPr>
          <w:rFonts w:cs="Arial"/>
        </w:rPr>
        <w:t>s</w:t>
      </w:r>
      <w:r w:rsidR="1C8394C5" w:rsidRPr="342FFC39">
        <w:rPr>
          <w:rFonts w:cs="Arial"/>
        </w:rPr>
        <w:t>takeholder</w:t>
      </w:r>
      <w:r w:rsidRPr="342FFC39">
        <w:rPr>
          <w:rFonts w:cs="Arial"/>
        </w:rPr>
        <w:t>s throughout this proposal</w:t>
      </w:r>
      <w:r w:rsidR="714C9B32" w:rsidRPr="342FFC39">
        <w:rPr>
          <w:rFonts w:cs="Arial"/>
        </w:rPr>
        <w:t>.</w:t>
      </w:r>
      <w:r w:rsidR="1C8394C5">
        <w:t xml:space="preserve"> </w:t>
      </w:r>
      <w:r w:rsidR="246306DC" w:rsidRPr="342FFC39">
        <w:rPr>
          <w:rFonts w:cs="Arial"/>
        </w:rPr>
        <w:t xml:space="preserve">Further details are in the </w:t>
      </w:r>
      <w:r w:rsidR="00003CCC" w:rsidRPr="00003CCC">
        <w:rPr>
          <w:rFonts w:cs="Arial"/>
        </w:rPr>
        <w:t>DRIS</w:t>
      </w:r>
      <w:r w:rsidR="00003CCC" w:rsidRPr="00003CCC">
        <w:t xml:space="preserve"> (</w:t>
      </w:r>
      <w:hyperlink w:anchor="_5._Who_was" w:history="1">
        <w:r w:rsidR="00003CCC" w:rsidRPr="006B11F0">
          <w:rPr>
            <w:rStyle w:val="Hyperlink"/>
          </w:rPr>
          <w:t>section 5 in attachment C</w:t>
        </w:r>
      </w:hyperlink>
      <w:r w:rsidR="00003CCC" w:rsidRPr="00003CCC">
        <w:t>)</w:t>
      </w:r>
      <w:r w:rsidR="246306DC" w:rsidRPr="342FFC39">
        <w:rPr>
          <w:rFonts w:cs="Arial"/>
        </w:rPr>
        <w:t xml:space="preserve"> and section 2.5.1</w:t>
      </w:r>
      <w:r w:rsidR="00003CCC">
        <w:rPr>
          <w:rFonts w:cs="Arial"/>
        </w:rPr>
        <w:t xml:space="preserve"> of this report</w:t>
      </w:r>
      <w:r w:rsidR="246306DC" w:rsidRPr="342FFC39">
        <w:rPr>
          <w:rFonts w:cs="Arial"/>
        </w:rPr>
        <w:t xml:space="preserve">. </w:t>
      </w:r>
      <w:r w:rsidR="17098DB1" w:rsidRPr="342FFC39">
        <w:rPr>
          <w:lang w:val="en-AU"/>
        </w:rPr>
        <w:t xml:space="preserve">This engagement built on </w:t>
      </w:r>
      <w:r w:rsidR="5CB80E9D" w:rsidRPr="342FFC39">
        <w:rPr>
          <w:lang w:val="en-AU"/>
        </w:rPr>
        <w:t xml:space="preserve">considerable </w:t>
      </w:r>
      <w:r w:rsidR="17098DB1" w:rsidRPr="342FFC39">
        <w:rPr>
          <w:lang w:val="en-AU"/>
        </w:rPr>
        <w:t xml:space="preserve">previous </w:t>
      </w:r>
      <w:r w:rsidR="4D7ACFCC" w:rsidRPr="342FFC39">
        <w:rPr>
          <w:lang w:val="en-AU"/>
        </w:rPr>
        <w:t>work</w:t>
      </w:r>
      <w:r w:rsidR="17098DB1" w:rsidRPr="342FFC39">
        <w:rPr>
          <w:lang w:val="en-AU"/>
        </w:rPr>
        <w:t xml:space="preserve"> by the FSMWG.</w:t>
      </w:r>
      <w:r w:rsidR="5CB80E9D" w:rsidRPr="342FFC39">
        <w:rPr>
          <w:lang w:val="en-AU"/>
        </w:rPr>
        <w:t xml:space="preserve"> </w:t>
      </w:r>
      <w:r w:rsidRPr="342FFC39">
        <w:rPr>
          <w:lang w:val="en-AU"/>
        </w:rPr>
        <w:t>The three regulatory tools</w:t>
      </w:r>
      <w:r w:rsidR="4D7ACFCC" w:rsidRPr="342FFC39">
        <w:rPr>
          <w:lang w:val="en-AU"/>
        </w:rPr>
        <w:t xml:space="preserve"> </w:t>
      </w:r>
      <w:r w:rsidR="14D44E95" w:rsidRPr="342FFC39">
        <w:rPr>
          <w:lang w:val="en-AU"/>
        </w:rPr>
        <w:t xml:space="preserve">we assessed </w:t>
      </w:r>
      <w:r w:rsidR="4D7ACFCC" w:rsidRPr="342FFC39">
        <w:rPr>
          <w:lang w:val="en-AU"/>
        </w:rPr>
        <w:t>a</w:t>
      </w:r>
      <w:r w:rsidRPr="342FFC39">
        <w:rPr>
          <w:lang w:val="en-AU"/>
        </w:rPr>
        <w:t xml:space="preserve">re </w:t>
      </w:r>
      <w:r w:rsidR="17098DB1" w:rsidRPr="342FFC39">
        <w:rPr>
          <w:lang w:val="en-AU"/>
        </w:rPr>
        <w:t xml:space="preserve">part of the package </w:t>
      </w:r>
      <w:r w:rsidRPr="342FFC39">
        <w:rPr>
          <w:lang w:val="en-AU"/>
        </w:rPr>
        <w:t xml:space="preserve">recommended by </w:t>
      </w:r>
      <w:r w:rsidR="17098DB1" w:rsidRPr="342FFC39">
        <w:rPr>
          <w:lang w:val="en-AU"/>
        </w:rPr>
        <w:t xml:space="preserve">the </w:t>
      </w:r>
      <w:r w:rsidRPr="342FFC39">
        <w:rPr>
          <w:lang w:val="en-AU"/>
        </w:rPr>
        <w:t>FSMWG</w:t>
      </w:r>
      <w:r w:rsidR="714C9B32" w:rsidRPr="342FFC39">
        <w:rPr>
          <w:lang w:val="en-AU"/>
        </w:rPr>
        <w:t>,</w:t>
      </w:r>
      <w:r w:rsidR="17098DB1" w:rsidRPr="342FFC39">
        <w:rPr>
          <w:lang w:val="en-AU"/>
        </w:rPr>
        <w:t xml:space="preserve"> </w:t>
      </w:r>
      <w:r w:rsidR="5CB80E9D" w:rsidRPr="342FFC39">
        <w:rPr>
          <w:lang w:val="en-AU"/>
        </w:rPr>
        <w:t xml:space="preserve">which they developed </w:t>
      </w:r>
      <w:r w:rsidR="714C9B32" w:rsidRPr="342FFC39">
        <w:rPr>
          <w:lang w:val="en-AU"/>
        </w:rPr>
        <w:t xml:space="preserve">following </w:t>
      </w:r>
      <w:r w:rsidR="0C539292" w:rsidRPr="342FFC39">
        <w:rPr>
          <w:lang w:val="en-AU"/>
        </w:rPr>
        <w:t>engagement</w:t>
      </w:r>
      <w:r w:rsidR="4D7ACFCC" w:rsidRPr="342FFC39">
        <w:rPr>
          <w:lang w:val="en-AU"/>
        </w:rPr>
        <w:t xml:space="preserve"> with </w:t>
      </w:r>
      <w:r w:rsidR="714C9B32" w:rsidRPr="342FFC39">
        <w:rPr>
          <w:lang w:val="en-AU"/>
        </w:rPr>
        <w:t>governments (state, territory and council) and industry</w:t>
      </w:r>
      <w:r w:rsidR="17098DB1" w:rsidRPr="342FFC39">
        <w:rPr>
          <w:lang w:val="en-AU"/>
        </w:rPr>
        <w:t>.</w:t>
      </w:r>
      <w:r w:rsidRPr="342FFC39">
        <w:rPr>
          <w:lang w:val="en-AU"/>
        </w:rPr>
        <w:t xml:space="preserve"> </w:t>
      </w:r>
    </w:p>
    <w:p w14:paraId="143355CA" w14:textId="404DEE90" w:rsidR="00B52B60" w:rsidRDefault="00B52B60" w:rsidP="0096592A">
      <w:pPr>
        <w:spacing w:after="240"/>
        <w:rPr>
          <w:lang w:val="en-AU"/>
        </w:rPr>
      </w:pPr>
      <w:r>
        <w:rPr>
          <w:lang w:val="en-AU"/>
        </w:rPr>
        <w:t>Our discu</w:t>
      </w:r>
      <w:r w:rsidR="00A2312A">
        <w:rPr>
          <w:lang w:val="en-AU"/>
        </w:rPr>
        <w:t xml:space="preserve">ssion paper and </w:t>
      </w:r>
      <w:r w:rsidR="00101D97">
        <w:rPr>
          <w:lang w:val="en-AU"/>
        </w:rPr>
        <w:t>targeted</w:t>
      </w:r>
      <w:r w:rsidR="00A2312A">
        <w:rPr>
          <w:lang w:val="en-AU"/>
        </w:rPr>
        <w:t xml:space="preserve"> survey</w:t>
      </w:r>
      <w:r>
        <w:rPr>
          <w:lang w:val="en-AU"/>
        </w:rPr>
        <w:t xml:space="preserve"> </w:t>
      </w:r>
      <w:r w:rsidR="00081B97">
        <w:rPr>
          <w:lang w:val="en-AU"/>
        </w:rPr>
        <w:t xml:space="preserve">presented the three regulatory tools and requested stakeholder views and information to inform our approach. We </w:t>
      </w:r>
      <w:r w:rsidRPr="00AA50BB">
        <w:rPr>
          <w:lang w:val="en-AU"/>
        </w:rPr>
        <w:t xml:space="preserve">sought </w:t>
      </w:r>
      <w:r w:rsidR="00391A37">
        <w:rPr>
          <w:lang w:val="en-AU"/>
        </w:rPr>
        <w:t>feedback</w:t>
      </w:r>
      <w:r w:rsidRPr="00AA50BB">
        <w:rPr>
          <w:lang w:val="en-AU"/>
        </w:rPr>
        <w:t xml:space="preserve"> on existing issues, measures likely to have greatest impact on food safety outcomes</w:t>
      </w:r>
      <w:r>
        <w:rPr>
          <w:lang w:val="en-AU"/>
        </w:rPr>
        <w:t>, and the proposed tools</w:t>
      </w:r>
      <w:r w:rsidRPr="00AA50BB">
        <w:rPr>
          <w:lang w:val="en-AU"/>
        </w:rPr>
        <w:t xml:space="preserve">. </w:t>
      </w:r>
      <w:r w:rsidR="00081B97">
        <w:rPr>
          <w:lang w:val="en-AU"/>
        </w:rPr>
        <w:t>S</w:t>
      </w:r>
      <w:r w:rsidR="007F46B3">
        <w:rPr>
          <w:lang w:val="en-AU"/>
        </w:rPr>
        <w:t xml:space="preserve">takeholder </w:t>
      </w:r>
      <w:r w:rsidR="00081B97">
        <w:t>responses</w:t>
      </w:r>
      <w:r w:rsidR="0034464C">
        <w:t xml:space="preserve"> contributed to our consideration of costs, benefits, appropriateness and </w:t>
      </w:r>
      <w:r w:rsidR="004A0FE0">
        <w:t>efficacy of the tools</w:t>
      </w:r>
      <w:r w:rsidR="0034464C">
        <w:t xml:space="preserve">. </w:t>
      </w:r>
    </w:p>
    <w:p w14:paraId="60AAD927" w14:textId="1C83C6FE" w:rsidR="00081B97" w:rsidRPr="005322DF" w:rsidRDefault="246306DC" w:rsidP="0096592A">
      <w:pPr>
        <w:spacing w:after="240"/>
      </w:pPr>
      <w:r w:rsidRPr="342FFC39">
        <w:rPr>
          <w:rFonts w:cs="Arial"/>
        </w:rPr>
        <w:t xml:space="preserve">Our consultations reaffirmed stakeholders’ views </w:t>
      </w:r>
      <w:r w:rsidR="1EC82DDD" w:rsidRPr="342FFC39">
        <w:rPr>
          <w:rFonts w:cs="Arial"/>
        </w:rPr>
        <w:t xml:space="preserve">obtained </w:t>
      </w:r>
      <w:r w:rsidRPr="342FFC39">
        <w:rPr>
          <w:rFonts w:cs="Arial"/>
        </w:rPr>
        <w:t xml:space="preserve">from </w:t>
      </w:r>
      <w:r w:rsidR="1EC82DDD" w:rsidRPr="342FFC39">
        <w:rPr>
          <w:rFonts w:cs="Arial"/>
        </w:rPr>
        <w:t xml:space="preserve">the </w:t>
      </w:r>
      <w:r w:rsidRPr="342FFC39">
        <w:rPr>
          <w:rFonts w:cs="Arial"/>
        </w:rPr>
        <w:t>FSMWG work. Government stakeholders continue to strongly support</w:t>
      </w:r>
      <w:r w:rsidRPr="342FFC39">
        <w:rPr>
          <w:lang w:val="en-AU"/>
        </w:rPr>
        <w:t xml:space="preserve"> a package of regulatory measures in </w:t>
      </w:r>
      <w:r w:rsidRPr="342FFC39">
        <w:rPr>
          <w:lang w:val="en-AU"/>
        </w:rPr>
        <w:lastRenderedPageBreak/>
        <w:t xml:space="preserve">the Code. </w:t>
      </w:r>
      <w:r w:rsidR="1EC82DDD" w:rsidRPr="342FFC39">
        <w:rPr>
          <w:lang w:val="en-AU"/>
        </w:rPr>
        <w:t>Industry</w:t>
      </w:r>
      <w:r w:rsidRPr="342FFC39">
        <w:rPr>
          <w:rFonts w:cs="Arial"/>
        </w:rPr>
        <w:t xml:space="preserve"> </w:t>
      </w:r>
      <w:r w:rsidR="1EC82DDD" w:rsidRPr="342FFC39">
        <w:rPr>
          <w:rFonts w:cs="Arial"/>
        </w:rPr>
        <w:t xml:space="preserve">feedback </w:t>
      </w:r>
      <w:r w:rsidRPr="342FFC39">
        <w:rPr>
          <w:rFonts w:cs="Arial"/>
        </w:rPr>
        <w:t xml:space="preserve">confirmed they are also supportive of national tools that strengthen food safety management, while </w:t>
      </w:r>
      <w:r w:rsidR="4B0E836B" w:rsidRPr="342FFC39">
        <w:rPr>
          <w:rFonts w:cs="Arial"/>
        </w:rPr>
        <w:t>minimising</w:t>
      </w:r>
      <w:r w:rsidRPr="342FFC39">
        <w:rPr>
          <w:rFonts w:cs="Arial"/>
        </w:rPr>
        <w:t xml:space="preserve"> additional burden. </w:t>
      </w:r>
      <w:r w:rsidR="47A38EE0">
        <w:t xml:space="preserve">These views </w:t>
      </w:r>
      <w:r w:rsidR="47A38EE0" w:rsidRPr="342FFC39">
        <w:rPr>
          <w:lang w:val="en-AU"/>
        </w:rPr>
        <w:t>informed and refined our approach on whether</w:t>
      </w:r>
      <w:r w:rsidR="4B0E836B" w:rsidRPr="342FFC39">
        <w:rPr>
          <w:lang w:val="en-AU"/>
        </w:rPr>
        <w:t>,</w:t>
      </w:r>
      <w:r w:rsidR="47A38EE0" w:rsidRPr="342FFC39">
        <w:rPr>
          <w:lang w:val="en-AU"/>
        </w:rPr>
        <w:t xml:space="preserve"> and how</w:t>
      </w:r>
      <w:r w:rsidR="4B0E836B" w:rsidRPr="342FFC39">
        <w:rPr>
          <w:lang w:val="en-AU"/>
        </w:rPr>
        <w:t>,</w:t>
      </w:r>
      <w:r w:rsidR="47A38EE0" w:rsidRPr="342FFC39">
        <w:rPr>
          <w:lang w:val="en-AU"/>
        </w:rPr>
        <w:t xml:space="preserve"> food safety management tools should be mandated.</w:t>
      </w:r>
    </w:p>
    <w:p w14:paraId="0FA930BD" w14:textId="3AA891B3" w:rsidR="003837BA" w:rsidRDefault="00391A37" w:rsidP="0096592A">
      <w:pPr>
        <w:spacing w:after="240"/>
        <w:rPr>
          <w:lang w:val="en-AU"/>
        </w:rPr>
      </w:pPr>
      <w:r>
        <w:rPr>
          <w:lang w:val="en-AU"/>
        </w:rPr>
        <w:t>Prior to our CFS we</w:t>
      </w:r>
      <w:r w:rsidR="007F46B3">
        <w:rPr>
          <w:lang w:val="en-AU"/>
        </w:rPr>
        <w:t xml:space="preserve"> assessed three risk management options (see section 2.3.4)</w:t>
      </w:r>
      <w:r w:rsidR="00BE1DD3">
        <w:rPr>
          <w:lang w:val="en-AU"/>
        </w:rPr>
        <w:t xml:space="preserve"> to determine our preferred approach</w:t>
      </w:r>
      <w:r w:rsidR="007F46B3">
        <w:rPr>
          <w:lang w:val="en-AU"/>
        </w:rPr>
        <w:t xml:space="preserve">. </w:t>
      </w:r>
      <w:r w:rsidR="00C1642A">
        <w:rPr>
          <w:lang w:val="en-AU"/>
        </w:rPr>
        <w:t>O</w:t>
      </w:r>
      <w:r w:rsidR="003837BA">
        <w:rPr>
          <w:lang w:val="en-AU"/>
        </w:rPr>
        <w:t xml:space="preserve">ur </w:t>
      </w:r>
      <w:r w:rsidR="0034464C">
        <w:rPr>
          <w:lang w:val="en-AU"/>
        </w:rPr>
        <w:t xml:space="preserve">statutory </w:t>
      </w:r>
      <w:r w:rsidR="003837BA">
        <w:rPr>
          <w:lang w:val="en-AU"/>
        </w:rPr>
        <w:t>assessment</w:t>
      </w:r>
      <w:r w:rsidR="00C1642A">
        <w:rPr>
          <w:lang w:val="en-AU"/>
        </w:rPr>
        <w:t>,</w:t>
      </w:r>
      <w:r w:rsidR="003837BA">
        <w:rPr>
          <w:lang w:val="en-AU"/>
        </w:rPr>
        <w:t xml:space="preserve"> </w:t>
      </w:r>
      <w:r w:rsidR="0034464C">
        <w:rPr>
          <w:lang w:val="en-AU"/>
        </w:rPr>
        <w:t>including our mic</w:t>
      </w:r>
      <w:r w:rsidR="00BE1DD3">
        <w:rPr>
          <w:lang w:val="en-AU"/>
        </w:rPr>
        <w:t>robiological risk profile, cost-</w:t>
      </w:r>
      <w:r w:rsidR="0034464C">
        <w:rPr>
          <w:lang w:val="en-AU"/>
        </w:rPr>
        <w:t xml:space="preserve">benefit analysis and a draft standard, </w:t>
      </w:r>
      <w:r w:rsidR="00C1642A">
        <w:rPr>
          <w:lang w:val="en-AU"/>
        </w:rPr>
        <w:t>w</w:t>
      </w:r>
      <w:r w:rsidR="00F7525D">
        <w:rPr>
          <w:lang w:val="en-AU"/>
        </w:rPr>
        <w:t xml:space="preserve">as provided </w:t>
      </w:r>
      <w:r>
        <w:rPr>
          <w:lang w:val="en-AU"/>
        </w:rPr>
        <w:t xml:space="preserve">in the CFS </w:t>
      </w:r>
      <w:r w:rsidR="00F7525D">
        <w:rPr>
          <w:lang w:val="en-AU"/>
        </w:rPr>
        <w:t>for public comment</w:t>
      </w:r>
      <w:r w:rsidR="0034464C">
        <w:rPr>
          <w:lang w:val="en-AU"/>
        </w:rPr>
        <w:t>. The draft standard reflected our</w:t>
      </w:r>
      <w:r w:rsidR="003837BA">
        <w:rPr>
          <w:lang w:val="en-AU"/>
        </w:rPr>
        <w:t xml:space="preserve"> preferred </w:t>
      </w:r>
      <w:r w:rsidR="00B667E8" w:rsidRPr="001309F9">
        <w:rPr>
          <w:lang w:val="en-AU"/>
        </w:rPr>
        <w:t>option of graduated regulation</w:t>
      </w:r>
      <w:r w:rsidR="00F7525D">
        <w:rPr>
          <w:lang w:val="en-AU"/>
        </w:rPr>
        <w:t>,</w:t>
      </w:r>
      <w:r w:rsidR="00B667E8" w:rsidRPr="001309F9">
        <w:rPr>
          <w:lang w:val="en-AU"/>
        </w:rPr>
        <w:t xml:space="preserve"> </w:t>
      </w:r>
      <w:r w:rsidR="00F7525D">
        <w:rPr>
          <w:lang w:val="en-AU"/>
        </w:rPr>
        <w:t xml:space="preserve">applying requirements </w:t>
      </w:r>
      <w:r w:rsidR="0034464C">
        <w:rPr>
          <w:lang w:val="en-AU"/>
        </w:rPr>
        <w:t>based on business</w:t>
      </w:r>
      <w:r w:rsidR="00F7525D">
        <w:rPr>
          <w:lang w:val="en-AU"/>
        </w:rPr>
        <w:t>es’</w:t>
      </w:r>
      <w:r w:rsidR="0034464C">
        <w:rPr>
          <w:lang w:val="en-AU"/>
        </w:rPr>
        <w:t xml:space="preserve"> food safety risks.</w:t>
      </w:r>
      <w:r w:rsidR="00F7525D">
        <w:rPr>
          <w:lang w:val="en-AU"/>
        </w:rPr>
        <w:t xml:space="preserve"> </w:t>
      </w:r>
    </w:p>
    <w:p w14:paraId="7B9DDF5B" w14:textId="327B544D" w:rsidR="001309F9" w:rsidRDefault="5C6D02A7" w:rsidP="0096592A">
      <w:pPr>
        <w:spacing w:after="240"/>
        <w:rPr>
          <w:lang w:val="en-AU"/>
        </w:rPr>
      </w:pPr>
      <w:r w:rsidRPr="342FFC39">
        <w:rPr>
          <w:lang w:val="en-AU"/>
        </w:rPr>
        <w:t>R</w:t>
      </w:r>
      <w:r w:rsidR="32D6745C" w:rsidRPr="342FFC39">
        <w:rPr>
          <w:lang w:val="en-AU"/>
        </w:rPr>
        <w:t xml:space="preserve">esponses to the </w:t>
      </w:r>
      <w:r w:rsidR="5F74F266" w:rsidRPr="342FFC39">
        <w:rPr>
          <w:lang w:val="en-AU"/>
        </w:rPr>
        <w:t xml:space="preserve">CFS </w:t>
      </w:r>
      <w:r w:rsidR="32D6745C" w:rsidRPr="342FFC39">
        <w:rPr>
          <w:lang w:val="en-AU"/>
        </w:rPr>
        <w:t>indicate</w:t>
      </w:r>
      <w:r w:rsidR="0A3D10B0" w:rsidRPr="342FFC39">
        <w:rPr>
          <w:lang w:val="en-AU"/>
        </w:rPr>
        <w:t xml:space="preserve"> broad support for FSANZ’s preferred </w:t>
      </w:r>
      <w:r w:rsidR="14205B11" w:rsidRPr="342FFC39">
        <w:rPr>
          <w:lang w:val="en-AU"/>
        </w:rPr>
        <w:t xml:space="preserve">option. </w:t>
      </w:r>
      <w:r w:rsidR="0A3D10B0" w:rsidRPr="342FFC39">
        <w:rPr>
          <w:lang w:val="en-AU"/>
        </w:rPr>
        <w:t xml:space="preserve">Many stakeholders agreed the proposed measures should improve food safety </w:t>
      </w:r>
      <w:r w:rsidR="4B0E836B" w:rsidRPr="342FFC39">
        <w:rPr>
          <w:lang w:val="en-AU"/>
        </w:rPr>
        <w:t xml:space="preserve">practices, </w:t>
      </w:r>
      <w:r w:rsidR="0A3D10B0" w:rsidRPr="342FFC39">
        <w:rPr>
          <w:lang w:val="en-AU"/>
        </w:rPr>
        <w:t>culture, skills and knowledge</w:t>
      </w:r>
      <w:r w:rsidR="4B0E836B" w:rsidRPr="342FFC39">
        <w:rPr>
          <w:lang w:val="en-AU"/>
        </w:rPr>
        <w:t>,</w:t>
      </w:r>
      <w:r w:rsidR="20D32DF1" w:rsidRPr="342FFC39">
        <w:rPr>
          <w:lang w:val="en-AU"/>
        </w:rPr>
        <w:t xml:space="preserve"> </w:t>
      </w:r>
      <w:r w:rsidR="0A3D10B0" w:rsidRPr="342FFC39">
        <w:rPr>
          <w:lang w:val="en-AU"/>
        </w:rPr>
        <w:t>and reduce foodborne illness. There was also strong support for a nationally consistent approach to regulation, tools and resources. Three submissions</w:t>
      </w:r>
      <w:r w:rsidR="165385A9" w:rsidRPr="342FFC39">
        <w:rPr>
          <w:lang w:val="en-AU"/>
        </w:rPr>
        <w:t xml:space="preserve"> </w:t>
      </w:r>
      <w:r w:rsidR="32D6745C" w:rsidRPr="342FFC39">
        <w:rPr>
          <w:lang w:val="en-AU"/>
        </w:rPr>
        <w:t>(from two advocacy groups and one local council)</w:t>
      </w:r>
      <w:r w:rsidR="0A3D10B0" w:rsidRPr="342FFC39">
        <w:rPr>
          <w:lang w:val="en-AU"/>
        </w:rPr>
        <w:t xml:space="preserve"> </w:t>
      </w:r>
      <w:r w:rsidR="32D6745C" w:rsidRPr="342FFC39">
        <w:rPr>
          <w:lang w:val="en-AU"/>
        </w:rPr>
        <w:t>did not support</w:t>
      </w:r>
      <w:r w:rsidR="0A3D10B0" w:rsidRPr="342FFC39">
        <w:rPr>
          <w:lang w:val="en-AU"/>
        </w:rPr>
        <w:t xml:space="preserve"> </w:t>
      </w:r>
      <w:r w:rsidR="32D6745C" w:rsidRPr="342FFC39">
        <w:rPr>
          <w:lang w:val="en-AU"/>
        </w:rPr>
        <w:t>FSANZ’s</w:t>
      </w:r>
      <w:r w:rsidR="0A3D10B0" w:rsidRPr="342FFC39">
        <w:rPr>
          <w:lang w:val="en-AU"/>
        </w:rPr>
        <w:t xml:space="preserve"> pr</w:t>
      </w:r>
      <w:r w:rsidR="32D6745C" w:rsidRPr="342FFC39">
        <w:rPr>
          <w:lang w:val="en-AU"/>
        </w:rPr>
        <w:t>eferr</w:t>
      </w:r>
      <w:r w:rsidR="0A3D10B0" w:rsidRPr="342FFC39">
        <w:rPr>
          <w:lang w:val="en-AU"/>
        </w:rPr>
        <w:t>ed approach</w:t>
      </w:r>
      <w:r w:rsidR="4B0E836B" w:rsidRPr="342FFC39">
        <w:rPr>
          <w:lang w:val="en-AU"/>
        </w:rPr>
        <w:t>. Two</w:t>
      </w:r>
      <w:r w:rsidR="1EC82DDD" w:rsidRPr="342FFC39">
        <w:rPr>
          <w:lang w:val="en-AU"/>
        </w:rPr>
        <w:t xml:space="preserve"> </w:t>
      </w:r>
      <w:r w:rsidR="45CF8864" w:rsidRPr="342FFC39">
        <w:rPr>
          <w:lang w:val="en-AU"/>
        </w:rPr>
        <w:t xml:space="preserve">submitters </w:t>
      </w:r>
      <w:r w:rsidR="14205B11" w:rsidRPr="342FFC39">
        <w:rPr>
          <w:lang w:val="en-AU"/>
        </w:rPr>
        <w:t>advocat</w:t>
      </w:r>
      <w:r w:rsidR="45CF8864" w:rsidRPr="342FFC39">
        <w:rPr>
          <w:lang w:val="en-AU"/>
        </w:rPr>
        <w:t>ed</w:t>
      </w:r>
      <w:r w:rsidR="14205B11" w:rsidRPr="342FFC39">
        <w:rPr>
          <w:lang w:val="en-AU"/>
        </w:rPr>
        <w:t xml:space="preserve"> for extra measures beyond the scope of this proposal</w:t>
      </w:r>
      <w:r w:rsidR="4B0E836B" w:rsidRPr="342FFC39">
        <w:rPr>
          <w:lang w:val="en-AU"/>
        </w:rPr>
        <w:t xml:space="preserve"> and one local council did not support additional regulation</w:t>
      </w:r>
      <w:r w:rsidR="0A3D10B0" w:rsidRPr="342FFC39">
        <w:rPr>
          <w:lang w:val="en-AU"/>
        </w:rPr>
        <w:t>.</w:t>
      </w:r>
    </w:p>
    <w:p w14:paraId="0798E046" w14:textId="0C77E9DD" w:rsidR="00CD60C4" w:rsidRPr="00CD60C4" w:rsidRDefault="00FE3EBC" w:rsidP="0096592A">
      <w:pPr>
        <w:spacing w:after="240"/>
        <w:rPr>
          <w:lang w:val="en-AU"/>
        </w:rPr>
      </w:pPr>
      <w:r>
        <w:rPr>
          <w:lang w:val="en-AU"/>
        </w:rPr>
        <w:t xml:space="preserve">Issues raised in </w:t>
      </w:r>
      <w:r w:rsidR="00C1642A">
        <w:rPr>
          <w:lang w:val="en-AU"/>
        </w:rPr>
        <w:t xml:space="preserve">CFS </w:t>
      </w:r>
      <w:r>
        <w:rPr>
          <w:lang w:val="en-AU"/>
        </w:rPr>
        <w:t xml:space="preserve">submissions, together with FSANZ’s responses, are in </w:t>
      </w:r>
      <w:r w:rsidR="003837BA" w:rsidRPr="004B6C70">
        <w:rPr>
          <w:lang w:val="en-AU"/>
        </w:rPr>
        <w:t>Attachment</w:t>
      </w:r>
      <w:r w:rsidR="008962CE" w:rsidRPr="004B6C70">
        <w:rPr>
          <w:lang w:val="en-AU"/>
        </w:rPr>
        <w:t xml:space="preserve"> D</w:t>
      </w:r>
      <w:r>
        <w:rPr>
          <w:lang w:val="en-AU"/>
        </w:rPr>
        <w:t xml:space="preserve">. </w:t>
      </w:r>
      <w:r w:rsidR="00CD60C4" w:rsidRPr="00CD60C4">
        <w:rPr>
          <w:lang w:val="en-AU"/>
        </w:rPr>
        <w:t xml:space="preserve">Most submissions were from local councils who </w:t>
      </w:r>
      <w:r w:rsidR="00C1642A">
        <w:rPr>
          <w:lang w:val="en-AU"/>
        </w:rPr>
        <w:t>raised</w:t>
      </w:r>
      <w:r w:rsidR="00CD60C4" w:rsidRPr="00CD60C4">
        <w:rPr>
          <w:lang w:val="en-AU"/>
        </w:rPr>
        <w:t xml:space="preserve"> </w:t>
      </w:r>
      <w:r w:rsidR="00C1642A">
        <w:rPr>
          <w:lang w:val="en-AU"/>
        </w:rPr>
        <w:t>many</w:t>
      </w:r>
      <w:r w:rsidR="00CD60C4" w:rsidRPr="00CD60C4">
        <w:rPr>
          <w:lang w:val="en-AU"/>
        </w:rPr>
        <w:t xml:space="preserve"> specific implementation matters</w:t>
      </w:r>
      <w:r w:rsidR="00A2312A">
        <w:rPr>
          <w:lang w:val="en-AU"/>
        </w:rPr>
        <w:t xml:space="preserve"> and questions</w:t>
      </w:r>
      <w:r w:rsidR="00C1642A">
        <w:rPr>
          <w:lang w:val="en-AU"/>
        </w:rPr>
        <w:t>,</w:t>
      </w:r>
      <w:r w:rsidR="00CD60C4" w:rsidRPr="00CD60C4">
        <w:rPr>
          <w:lang w:val="en-AU"/>
        </w:rPr>
        <w:t xml:space="preserve"> should the </w:t>
      </w:r>
      <w:r w:rsidR="005E07CB">
        <w:rPr>
          <w:lang w:val="en-AU"/>
        </w:rPr>
        <w:t xml:space="preserve">draft </w:t>
      </w:r>
      <w:r w:rsidR="00CD60C4" w:rsidRPr="00CD60C4">
        <w:rPr>
          <w:lang w:val="en-AU"/>
        </w:rPr>
        <w:t xml:space="preserve">standard be </w:t>
      </w:r>
      <w:r w:rsidR="005E07CB">
        <w:rPr>
          <w:lang w:val="en-AU"/>
        </w:rPr>
        <w:t>approved by Food Ministers</w:t>
      </w:r>
      <w:r w:rsidR="00CD60C4" w:rsidRPr="00CD60C4">
        <w:rPr>
          <w:lang w:val="en-AU"/>
        </w:rPr>
        <w:t xml:space="preserve">. They expressed a strong need for clear, timely training and guidance on the business categorisation </w:t>
      </w:r>
      <w:r w:rsidR="008D3E3F">
        <w:rPr>
          <w:lang w:val="en-AU"/>
        </w:rPr>
        <w:t xml:space="preserve">and details of </w:t>
      </w:r>
      <w:r w:rsidR="00CD60C4" w:rsidRPr="00CD60C4">
        <w:rPr>
          <w:lang w:val="en-AU"/>
        </w:rPr>
        <w:t xml:space="preserve">requirements </w:t>
      </w:r>
      <w:r w:rsidR="008D3E3F">
        <w:rPr>
          <w:lang w:val="en-AU"/>
        </w:rPr>
        <w:t>to assist</w:t>
      </w:r>
      <w:r w:rsidR="00CD60C4" w:rsidRPr="00CD60C4">
        <w:rPr>
          <w:lang w:val="en-AU"/>
        </w:rPr>
        <w:t xml:space="preserve"> enforcement. Some were concerned about the extra time, effort and cost the new measures would impose on regulators as well as businesses, especially small businesses. </w:t>
      </w:r>
    </w:p>
    <w:p w14:paraId="58D8FDCE" w14:textId="77777777" w:rsidR="00CD60C4" w:rsidRPr="00CD60C4" w:rsidRDefault="00CD60C4" w:rsidP="0096592A">
      <w:pPr>
        <w:spacing w:after="240"/>
        <w:rPr>
          <w:lang w:val="en-AU"/>
        </w:rPr>
      </w:pPr>
      <w:r w:rsidRPr="00CD60C4">
        <w:rPr>
          <w:lang w:val="en-AU"/>
        </w:rPr>
        <w:t>Feedback on the three regulatory tools included:</w:t>
      </w:r>
    </w:p>
    <w:p w14:paraId="178DAA25" w14:textId="5944B128" w:rsidR="00CD60C4" w:rsidRPr="00CD60C4" w:rsidRDefault="00ED6AE7" w:rsidP="00614AF5">
      <w:pPr>
        <w:numPr>
          <w:ilvl w:val="0"/>
          <w:numId w:val="9"/>
        </w:numPr>
        <w:rPr>
          <w:lang w:val="en-AU"/>
        </w:rPr>
      </w:pPr>
      <w:r w:rsidRPr="002E7A54">
        <w:rPr>
          <w:b/>
          <w:lang w:val="en-AU"/>
        </w:rPr>
        <w:t>FSS</w:t>
      </w:r>
      <w:r w:rsidR="00CD60C4" w:rsidRPr="002E7A54">
        <w:rPr>
          <w:b/>
          <w:lang w:val="en-AU"/>
        </w:rPr>
        <w:t xml:space="preserve"> </w:t>
      </w:r>
      <w:r w:rsidR="00CD60C4" w:rsidRPr="3C0957AF">
        <w:rPr>
          <w:lang w:val="en-AU"/>
        </w:rPr>
        <w:t xml:space="preserve">– Training should be standardised, accessible (considering languages, remote access, face-to-face and online options), </w:t>
      </w:r>
      <w:r w:rsidRPr="3C0957AF">
        <w:rPr>
          <w:lang w:val="en-AU"/>
        </w:rPr>
        <w:t>and regularly refreshed (</w:t>
      </w:r>
      <w:bookmarkStart w:id="44" w:name="_Int_zcSEk6qB"/>
      <w:r w:rsidRPr="3C0957AF">
        <w:rPr>
          <w:lang w:val="en-AU"/>
        </w:rPr>
        <w:t>e.g.</w:t>
      </w:r>
      <w:bookmarkEnd w:id="44"/>
      <w:r w:rsidRPr="3C0957AF">
        <w:rPr>
          <w:lang w:val="en-AU"/>
        </w:rPr>
        <w:t xml:space="preserve"> every 3–</w:t>
      </w:r>
      <w:r w:rsidR="00CD60C4" w:rsidRPr="3C0957AF">
        <w:rPr>
          <w:lang w:val="en-AU"/>
        </w:rPr>
        <w:t>5 years)</w:t>
      </w:r>
      <w:r w:rsidRPr="3C0957AF">
        <w:rPr>
          <w:lang w:val="en-AU"/>
        </w:rPr>
        <w:t>.</w:t>
      </w:r>
    </w:p>
    <w:p w14:paraId="30C50CE8" w14:textId="40CBE3AD" w:rsidR="00CD60C4" w:rsidRPr="00CD60C4" w:rsidRDefault="00ED6AE7" w:rsidP="00614AF5">
      <w:pPr>
        <w:numPr>
          <w:ilvl w:val="0"/>
          <w:numId w:val="9"/>
        </w:numPr>
        <w:rPr>
          <w:lang w:val="en-AU"/>
        </w:rPr>
      </w:pPr>
      <w:r w:rsidRPr="002E7A54">
        <w:rPr>
          <w:b/>
          <w:lang w:val="en-AU"/>
        </w:rPr>
        <w:t>FHT</w:t>
      </w:r>
      <w:r w:rsidR="00CD60C4" w:rsidRPr="00CD60C4">
        <w:rPr>
          <w:lang w:val="en-AU"/>
        </w:rPr>
        <w:t xml:space="preserve"> – Training should be standardised, accessible (as above) and free for councils and businesses. Tools are needed (or training certificates required) to help regulators assess the adequacy of training. Some submissions raised the need for refresher training</w:t>
      </w:r>
      <w:r w:rsidR="008D3E3F" w:rsidRPr="008D3E3F">
        <w:rPr>
          <w:lang w:val="en-AU"/>
        </w:rPr>
        <w:t xml:space="preserve"> </w:t>
      </w:r>
      <w:r w:rsidR="008D3E3F">
        <w:rPr>
          <w:lang w:val="en-AU"/>
        </w:rPr>
        <w:t xml:space="preserve">at </w:t>
      </w:r>
      <w:r w:rsidR="008D3E3F" w:rsidRPr="00CD60C4">
        <w:rPr>
          <w:lang w:val="en-AU"/>
        </w:rPr>
        <w:t>regular</w:t>
      </w:r>
      <w:r w:rsidR="008D3E3F">
        <w:rPr>
          <w:lang w:val="en-AU"/>
        </w:rPr>
        <w:t xml:space="preserve"> intervals or when new </w:t>
      </w:r>
      <w:r w:rsidR="00101D97">
        <w:rPr>
          <w:lang w:val="en-AU"/>
        </w:rPr>
        <w:t xml:space="preserve">food handling </w:t>
      </w:r>
      <w:r w:rsidR="008D3E3F">
        <w:rPr>
          <w:lang w:val="en-AU"/>
        </w:rPr>
        <w:t>activities arise</w:t>
      </w:r>
      <w:r w:rsidR="00CD60C4" w:rsidRPr="00CD60C4">
        <w:rPr>
          <w:lang w:val="en-AU"/>
        </w:rPr>
        <w:t>.</w:t>
      </w:r>
    </w:p>
    <w:p w14:paraId="128CF45B" w14:textId="6131ADDA" w:rsidR="00CD60C4" w:rsidRPr="00CD60C4" w:rsidRDefault="1EC82DDD" w:rsidP="00614AF5">
      <w:pPr>
        <w:numPr>
          <w:ilvl w:val="0"/>
          <w:numId w:val="9"/>
        </w:numPr>
        <w:spacing w:after="240"/>
        <w:rPr>
          <w:lang w:val="en-AU"/>
        </w:rPr>
      </w:pPr>
      <w:r w:rsidRPr="002E7A54">
        <w:rPr>
          <w:b/>
          <w:lang w:val="en-AU"/>
        </w:rPr>
        <w:t>E</w:t>
      </w:r>
      <w:r w:rsidRPr="342FFC39">
        <w:rPr>
          <w:lang w:val="en-AU"/>
        </w:rPr>
        <w:t xml:space="preserve"> – G</w:t>
      </w:r>
      <w:r w:rsidR="5F74F266" w:rsidRPr="342FFC39">
        <w:rPr>
          <w:lang w:val="en-AU"/>
        </w:rPr>
        <w:t xml:space="preserve">uidance is needed on what </w:t>
      </w:r>
      <w:r w:rsidR="7F196FF1" w:rsidRPr="342FFC39">
        <w:rPr>
          <w:lang w:val="en-AU"/>
        </w:rPr>
        <w:t xml:space="preserve">and when </w:t>
      </w:r>
      <w:r w:rsidR="5F74F266" w:rsidRPr="342FFC39">
        <w:rPr>
          <w:lang w:val="en-AU"/>
        </w:rPr>
        <w:t xml:space="preserve">evidence is required, and </w:t>
      </w:r>
      <w:r w:rsidR="7F196FF1" w:rsidRPr="342FFC39">
        <w:rPr>
          <w:lang w:val="en-AU"/>
        </w:rPr>
        <w:t xml:space="preserve">appropriate </w:t>
      </w:r>
      <w:r w:rsidR="5F74F266" w:rsidRPr="342FFC39">
        <w:rPr>
          <w:lang w:val="en-AU"/>
        </w:rPr>
        <w:t>tools should be available (</w:t>
      </w:r>
      <w:bookmarkStart w:id="45" w:name="_Int_3hqTkSCy"/>
      <w:r w:rsidR="5F74F266" w:rsidRPr="342FFC39">
        <w:rPr>
          <w:lang w:val="en-AU"/>
        </w:rPr>
        <w:t>e.g.</w:t>
      </w:r>
      <w:bookmarkEnd w:id="45"/>
      <w:r w:rsidR="5F74F266" w:rsidRPr="342FFC39">
        <w:rPr>
          <w:lang w:val="en-AU"/>
        </w:rPr>
        <w:t xml:space="preserve"> tailored templates) for businesses.</w:t>
      </w:r>
    </w:p>
    <w:p w14:paraId="7CB06A4C" w14:textId="50258EA9" w:rsidR="007A53BF" w:rsidRPr="008962CE" w:rsidRDefault="00381B88" w:rsidP="0096592A">
      <w:pPr>
        <w:spacing w:after="240"/>
        <w:rPr>
          <w:lang w:bidi="ar-SA"/>
        </w:rPr>
      </w:pPr>
      <w:r w:rsidRPr="3C0957AF">
        <w:rPr>
          <w:lang w:bidi="ar-SA"/>
        </w:rPr>
        <w:t xml:space="preserve">In addition, </w:t>
      </w:r>
      <w:r w:rsidR="00A2312A" w:rsidRPr="3C0957AF">
        <w:rPr>
          <w:lang w:bidi="ar-SA"/>
        </w:rPr>
        <w:t xml:space="preserve">prescriptive </w:t>
      </w:r>
      <w:r w:rsidRPr="3C0957AF">
        <w:rPr>
          <w:lang w:bidi="ar-SA"/>
        </w:rPr>
        <w:t>amendments to definitions or requirements were sought (</w:t>
      </w:r>
      <w:bookmarkStart w:id="46" w:name="_Int_dKPO1Fj0"/>
      <w:r w:rsidRPr="3C0957AF">
        <w:rPr>
          <w:lang w:bidi="ar-SA"/>
        </w:rPr>
        <w:t>e.g.</w:t>
      </w:r>
      <w:bookmarkEnd w:id="46"/>
      <w:r w:rsidRPr="3C0957AF">
        <w:rPr>
          <w:lang w:bidi="ar-SA"/>
        </w:rPr>
        <w:t xml:space="preserve"> mandating a </w:t>
      </w:r>
      <w:r w:rsidR="00A2312A" w:rsidRPr="3C0957AF">
        <w:rPr>
          <w:lang w:bidi="ar-SA"/>
        </w:rPr>
        <w:t xml:space="preserve">FHT </w:t>
      </w:r>
      <w:r w:rsidRPr="3C0957AF">
        <w:rPr>
          <w:lang w:bidi="ar-SA"/>
        </w:rPr>
        <w:t xml:space="preserve">certificate and </w:t>
      </w:r>
      <w:r w:rsidR="00A2312A" w:rsidRPr="3C0957AF">
        <w:rPr>
          <w:lang w:bidi="ar-SA"/>
        </w:rPr>
        <w:t xml:space="preserve">mandating </w:t>
      </w:r>
      <w:r w:rsidRPr="3C0957AF">
        <w:rPr>
          <w:lang w:bidi="ar-SA"/>
        </w:rPr>
        <w:t>FSS duties), largely by local councils.</w:t>
      </w:r>
    </w:p>
    <w:p w14:paraId="4D6803C2" w14:textId="279C1796" w:rsidR="002C1A3B" w:rsidRPr="00932F14" w:rsidRDefault="0081747A" w:rsidP="0096592A">
      <w:pPr>
        <w:pStyle w:val="Heading2"/>
      </w:pPr>
      <w:bookmarkStart w:id="47" w:name="_Toc370223472"/>
      <w:bookmarkStart w:id="48" w:name="_Toc370225387"/>
      <w:bookmarkStart w:id="49" w:name="_Toc94172647"/>
      <w:bookmarkStart w:id="50" w:name="_Toc109300409"/>
      <w:bookmarkStart w:id="51" w:name="_Toc309291812"/>
      <w:bookmarkStart w:id="52" w:name="_Toc175381442"/>
      <w:bookmarkEnd w:id="38"/>
      <w:bookmarkEnd w:id="39"/>
      <w:bookmarkEnd w:id="40"/>
      <w:bookmarkEnd w:id="41"/>
      <w:bookmarkEnd w:id="42"/>
      <w:bookmarkEnd w:id="43"/>
      <w:bookmarkEnd w:id="47"/>
      <w:bookmarkEnd w:id="48"/>
      <w:r w:rsidRPr="0081747A">
        <w:t>Risk profiling of Australian food service and retail businesses</w:t>
      </w:r>
      <w:bookmarkEnd w:id="49"/>
      <w:bookmarkEnd w:id="50"/>
    </w:p>
    <w:p w14:paraId="19DFEB2F" w14:textId="76846E43" w:rsidR="00F476A3" w:rsidRDefault="00DC14FC" w:rsidP="0096592A">
      <w:pPr>
        <w:spacing w:after="240"/>
      </w:pPr>
      <w:bookmarkStart w:id="53" w:name="_Toc370223473"/>
      <w:bookmarkStart w:id="54" w:name="_Toc370225388"/>
      <w:bookmarkStart w:id="55" w:name="_Toc175381450"/>
      <w:bookmarkEnd w:id="51"/>
      <w:bookmarkEnd w:id="52"/>
      <w:r w:rsidRPr="00FC252D">
        <w:t>FSANZ’s risk assessment is detailed in</w:t>
      </w:r>
      <w:r w:rsidRPr="00A9439C">
        <w:t xml:space="preserve"> </w:t>
      </w:r>
      <w:r w:rsidR="00391A37">
        <w:t xml:space="preserve">our </w:t>
      </w:r>
      <w:hyperlink r:id="rId27" w:history="1">
        <w:r w:rsidR="00101D97">
          <w:rPr>
            <w:rStyle w:val="Hyperlink"/>
          </w:rPr>
          <w:t>microbiological risk profile</w:t>
        </w:r>
      </w:hyperlink>
      <w:r w:rsidR="00391A37">
        <w:t xml:space="preserve"> </w:t>
      </w:r>
      <w:r>
        <w:t xml:space="preserve">and summarised below. </w:t>
      </w:r>
      <w:r w:rsidR="00692C9C">
        <w:t>FSANZ assessed</w:t>
      </w:r>
      <w:r w:rsidR="00692C9C" w:rsidRPr="6D88C429">
        <w:rPr>
          <w:rFonts w:cs="Arial"/>
          <w:lang w:bidi="ar-SA"/>
        </w:rPr>
        <w:t xml:space="preserve"> and profiled microbiological risks</w:t>
      </w:r>
      <w:r w:rsidRPr="6D88C429">
        <w:rPr>
          <w:rFonts w:cs="Arial"/>
          <w:lang w:bidi="ar-SA"/>
        </w:rPr>
        <w:t xml:space="preserve"> </w:t>
      </w:r>
      <w:r w:rsidR="00692C9C" w:rsidRPr="6D88C429">
        <w:rPr>
          <w:rFonts w:cs="Arial"/>
          <w:lang w:bidi="ar-SA"/>
        </w:rPr>
        <w:t>of</w:t>
      </w:r>
      <w:r w:rsidR="00672336" w:rsidRPr="6D88C429">
        <w:rPr>
          <w:rFonts w:cs="Arial"/>
          <w:lang w:bidi="ar-SA"/>
        </w:rPr>
        <w:t xml:space="preserve"> businesses in the food service </w:t>
      </w:r>
      <w:r w:rsidR="00692C9C" w:rsidRPr="6D88C429">
        <w:rPr>
          <w:rFonts w:cs="Arial"/>
          <w:lang w:bidi="ar-SA"/>
        </w:rPr>
        <w:t xml:space="preserve">and retail </w:t>
      </w:r>
      <w:r w:rsidR="00672336" w:rsidRPr="6D88C429">
        <w:rPr>
          <w:rFonts w:cs="Arial"/>
          <w:lang w:bidi="ar-SA"/>
        </w:rPr>
        <w:t>sectors</w:t>
      </w:r>
      <w:r w:rsidR="00692C9C" w:rsidRPr="6D88C429">
        <w:rPr>
          <w:rFonts w:cs="Arial"/>
          <w:lang w:bidi="ar-SA"/>
        </w:rPr>
        <w:t xml:space="preserve">. We examined </w:t>
      </w:r>
      <w:r w:rsidR="00B44545">
        <w:rPr>
          <w:rFonts w:cs="Arial"/>
          <w:lang w:bidi="ar-SA"/>
        </w:rPr>
        <w:t xml:space="preserve">the </w:t>
      </w:r>
      <w:r w:rsidR="00B44545" w:rsidRPr="6D88C429">
        <w:rPr>
          <w:rFonts w:cs="Arial"/>
          <w:lang w:bidi="ar-SA"/>
        </w:rPr>
        <w:t xml:space="preserve">best available </w:t>
      </w:r>
      <w:r w:rsidR="00692C9C" w:rsidRPr="6D88C429">
        <w:rPr>
          <w:rFonts w:cs="Arial"/>
          <w:lang w:bidi="ar-SA"/>
        </w:rPr>
        <w:t>evidence from foodborne illness outbreaks</w:t>
      </w:r>
      <w:r w:rsidR="00B44545">
        <w:rPr>
          <w:rFonts w:cs="Arial"/>
          <w:lang w:bidi="ar-SA"/>
        </w:rPr>
        <w:t xml:space="preserve"> (</w:t>
      </w:r>
      <w:r w:rsidR="00B44545" w:rsidRPr="6D88C429">
        <w:rPr>
          <w:rFonts w:cs="Arial"/>
        </w:rPr>
        <w:t xml:space="preserve">obtained </w:t>
      </w:r>
      <w:r w:rsidR="00B44545" w:rsidRPr="6D88C429">
        <w:rPr>
          <w:rFonts w:cs="Arial"/>
          <w:lang w:bidi="ar-SA"/>
        </w:rPr>
        <w:t>from the national epidemiology network</w:t>
      </w:r>
      <w:r w:rsidR="00B44545">
        <w:t xml:space="preserve"> </w:t>
      </w:r>
      <w:hyperlink r:id="rId28">
        <w:proofErr w:type="spellStart"/>
        <w:r w:rsidR="00B44545" w:rsidRPr="6D88C429">
          <w:rPr>
            <w:rStyle w:val="Hyperlink"/>
            <w:rFonts w:cs="Arial"/>
            <w:lang w:bidi="ar-SA"/>
          </w:rPr>
          <w:t>OzFoodNet</w:t>
        </w:r>
        <w:proofErr w:type="spellEnd"/>
      </w:hyperlink>
      <w:r w:rsidR="00B44545" w:rsidRPr="00B44545">
        <w:rPr>
          <w:rStyle w:val="Hyperlink"/>
          <w:rFonts w:cs="Arial"/>
          <w:color w:val="auto"/>
          <w:u w:val="none"/>
          <w:lang w:bidi="ar-SA"/>
        </w:rPr>
        <w:t>),</w:t>
      </w:r>
      <w:r w:rsidR="00692C9C" w:rsidRPr="00B44545">
        <w:rPr>
          <w:rFonts w:cs="Arial"/>
          <w:lang w:bidi="ar-SA"/>
        </w:rPr>
        <w:t xml:space="preserve"> </w:t>
      </w:r>
      <w:r w:rsidR="00692C9C" w:rsidRPr="6D88C429">
        <w:rPr>
          <w:rFonts w:cs="Arial"/>
          <w:lang w:bidi="ar-SA"/>
        </w:rPr>
        <w:t xml:space="preserve">as well as food safety hazards </w:t>
      </w:r>
      <w:r w:rsidR="00692C9C" w:rsidRPr="6D88C429">
        <w:rPr>
          <w:rFonts w:cs="Arial"/>
        </w:rPr>
        <w:t>within food businesses</w:t>
      </w:r>
      <w:r w:rsidR="00692C9C" w:rsidRPr="6D88C429">
        <w:rPr>
          <w:rFonts w:cs="Arial"/>
          <w:lang w:bidi="ar-SA"/>
        </w:rPr>
        <w:t xml:space="preserve"> and the critical </w:t>
      </w:r>
      <w:r w:rsidR="00692C9C" w:rsidRPr="6D88C429">
        <w:rPr>
          <w:rFonts w:cs="Arial"/>
        </w:rPr>
        <w:t xml:space="preserve">controls required to manage these hazards. </w:t>
      </w:r>
    </w:p>
    <w:p w14:paraId="0FDE2F2C" w14:textId="1052113A" w:rsidR="00DC14FC" w:rsidRPr="00C77D99" w:rsidRDefault="00F476A3" w:rsidP="0096592A">
      <w:pPr>
        <w:spacing w:after="240"/>
      </w:pPr>
      <w:r>
        <w:t>T</w:t>
      </w:r>
      <w:r w:rsidR="00DC14FC">
        <w:t xml:space="preserve">o confirm </w:t>
      </w:r>
      <w:r>
        <w:t xml:space="preserve">Australian food service sectors </w:t>
      </w:r>
      <w:r w:rsidR="00DC14FC">
        <w:t>still present food safety risks</w:t>
      </w:r>
      <w:r>
        <w:t>, we reviewed previous (2009) risk classifications in light of more recent data</w:t>
      </w:r>
      <w:r w:rsidR="00DC14FC">
        <w:t xml:space="preserve">. We </w:t>
      </w:r>
      <w:r>
        <w:t xml:space="preserve">also </w:t>
      </w:r>
      <w:r w:rsidR="00DC14FC">
        <w:t>considered</w:t>
      </w:r>
      <w:r w:rsidR="00672336">
        <w:t xml:space="preserve"> whether</w:t>
      </w:r>
      <w:r w:rsidR="00DC14FC">
        <w:t xml:space="preserve"> certain food handling activities, characteristic to these business sectors, could be similarly categorised </w:t>
      </w:r>
      <w:bookmarkStart w:id="56" w:name="_Int_ZMLS8siU"/>
      <w:r w:rsidR="00DC14FC">
        <w:t>based on</w:t>
      </w:r>
      <w:bookmarkEnd w:id="56"/>
      <w:r w:rsidR="00DC14FC">
        <w:t xml:space="preserve"> food safety risks. </w:t>
      </w:r>
    </w:p>
    <w:p w14:paraId="5EA4D850" w14:textId="3D3C15CB" w:rsidR="00DC14FC" w:rsidRPr="00C77D99" w:rsidRDefault="00DC14FC" w:rsidP="0096592A">
      <w:pPr>
        <w:pStyle w:val="Heading3"/>
      </w:pPr>
      <w:bookmarkStart w:id="57" w:name="_Toc94172649"/>
      <w:bookmarkStart w:id="58" w:name="_Toc109300410"/>
      <w:r>
        <w:lastRenderedPageBreak/>
        <w:t xml:space="preserve">Review of </w:t>
      </w:r>
      <w:proofErr w:type="spellStart"/>
      <w:r>
        <w:t>OzFoodN</w:t>
      </w:r>
      <w:r w:rsidRPr="00C77D99">
        <w:t>et</w:t>
      </w:r>
      <w:proofErr w:type="spellEnd"/>
      <w:r w:rsidRPr="00C77D99">
        <w:t xml:space="preserve"> data</w:t>
      </w:r>
      <w:bookmarkEnd w:id="57"/>
      <w:bookmarkEnd w:id="58"/>
    </w:p>
    <w:p w14:paraId="750B557E" w14:textId="78B57202" w:rsidR="00DC14FC" w:rsidRPr="00C77D99" w:rsidRDefault="00DC14FC" w:rsidP="0096592A">
      <w:pPr>
        <w:spacing w:after="240"/>
        <w:rPr>
          <w:rFonts w:cs="Arial"/>
          <w:szCs w:val="22"/>
        </w:rPr>
      </w:pPr>
      <w:r w:rsidRPr="00C77D99">
        <w:rPr>
          <w:rFonts w:cs="Arial"/>
          <w:szCs w:val="22"/>
        </w:rPr>
        <w:t xml:space="preserve">Analysis of the </w:t>
      </w:r>
      <w:proofErr w:type="spellStart"/>
      <w:r w:rsidRPr="00C77D99">
        <w:rPr>
          <w:rFonts w:cs="Arial"/>
          <w:szCs w:val="22"/>
        </w:rPr>
        <w:t>OzFoodNet</w:t>
      </w:r>
      <w:proofErr w:type="spellEnd"/>
      <w:r w:rsidRPr="00C77D99">
        <w:rPr>
          <w:rFonts w:cs="Arial"/>
          <w:szCs w:val="22"/>
        </w:rPr>
        <w:t xml:space="preserve"> data </w:t>
      </w:r>
      <w:r w:rsidR="009F72D6">
        <w:rPr>
          <w:rFonts w:cs="Arial"/>
          <w:szCs w:val="22"/>
        </w:rPr>
        <w:t xml:space="preserve">(for the period 2010 – 2017) </w:t>
      </w:r>
      <w:r w:rsidRPr="00C77D99">
        <w:rPr>
          <w:rFonts w:cs="Arial"/>
          <w:szCs w:val="22"/>
        </w:rPr>
        <w:t>shows that 77% (</w:t>
      </w:r>
      <w:r w:rsidRPr="00C77D99">
        <w:t xml:space="preserve">970/1257) </w:t>
      </w:r>
      <w:r w:rsidRPr="00C77D99">
        <w:rPr>
          <w:rFonts w:cs="Arial"/>
          <w:szCs w:val="22"/>
        </w:rPr>
        <w:t xml:space="preserve">of </w:t>
      </w:r>
      <w:r>
        <w:rPr>
          <w:rFonts w:cs="Arial"/>
          <w:szCs w:val="22"/>
        </w:rPr>
        <w:t>confirmed</w:t>
      </w:r>
      <w:r w:rsidRPr="00C77D99">
        <w:rPr>
          <w:rFonts w:cs="Arial"/>
          <w:szCs w:val="22"/>
        </w:rPr>
        <w:t xml:space="preserve"> and probable foodborne outbreaks </w:t>
      </w:r>
      <w:r w:rsidR="00384880">
        <w:rPr>
          <w:rFonts w:cs="Arial"/>
          <w:szCs w:val="22"/>
        </w:rPr>
        <w:t>were</w:t>
      </w:r>
      <w:r w:rsidRPr="00C77D99">
        <w:rPr>
          <w:rFonts w:cs="Arial"/>
          <w:szCs w:val="22"/>
        </w:rPr>
        <w:t xml:space="preserve"> associated with food prepared in food service and related retail settings. </w:t>
      </w:r>
      <w:r w:rsidR="00F476A3">
        <w:rPr>
          <w:rFonts w:cs="Arial"/>
          <w:szCs w:val="22"/>
        </w:rPr>
        <w:t>The t</w:t>
      </w:r>
      <w:r w:rsidRPr="00C77D99">
        <w:rPr>
          <w:rFonts w:cs="Arial"/>
          <w:szCs w:val="22"/>
        </w:rPr>
        <w:t xml:space="preserve">op five settings </w:t>
      </w:r>
      <w:r w:rsidR="00F476A3">
        <w:rPr>
          <w:rFonts w:cs="Arial"/>
          <w:szCs w:val="22"/>
        </w:rPr>
        <w:t>are</w:t>
      </w:r>
      <w:r w:rsidRPr="00C77D99">
        <w:rPr>
          <w:rFonts w:cs="Arial"/>
          <w:szCs w:val="22"/>
        </w:rPr>
        <w:t>:</w:t>
      </w:r>
    </w:p>
    <w:p w14:paraId="4EDBBA35" w14:textId="63923571" w:rsidR="00DC14FC" w:rsidRPr="00C77D99" w:rsidRDefault="00DC14FC" w:rsidP="00614AF5">
      <w:pPr>
        <w:pStyle w:val="ListParagraph"/>
        <w:numPr>
          <w:ilvl w:val="0"/>
          <w:numId w:val="5"/>
        </w:numPr>
        <w:spacing w:after="240"/>
      </w:pPr>
      <w:r w:rsidRPr="00C77D99">
        <w:t xml:space="preserve">restaurant, attributed to 45% of outbreaks </w:t>
      </w:r>
    </w:p>
    <w:p w14:paraId="5E8371C6" w14:textId="7B192802" w:rsidR="00DC14FC" w:rsidRPr="00C77D99" w:rsidRDefault="00DC14FC" w:rsidP="00614AF5">
      <w:pPr>
        <w:pStyle w:val="ListParagraph"/>
        <w:numPr>
          <w:ilvl w:val="0"/>
          <w:numId w:val="5"/>
        </w:numPr>
        <w:spacing w:after="240"/>
      </w:pPr>
      <w:r w:rsidRPr="00C77D99">
        <w:t>aged care, attributed to 8%</w:t>
      </w:r>
    </w:p>
    <w:p w14:paraId="73B08FB2" w14:textId="0F20CD84" w:rsidR="00DC14FC" w:rsidRPr="00C77D99" w:rsidRDefault="00DC14FC" w:rsidP="00614AF5">
      <w:pPr>
        <w:pStyle w:val="ListParagraph"/>
        <w:numPr>
          <w:ilvl w:val="0"/>
          <w:numId w:val="5"/>
        </w:numPr>
        <w:spacing w:after="240"/>
        <w:rPr>
          <w:u w:val="single"/>
        </w:rPr>
      </w:pPr>
      <w:r w:rsidRPr="00C77D99">
        <w:t xml:space="preserve">commercial caterer, attributed to 7% </w:t>
      </w:r>
    </w:p>
    <w:p w14:paraId="5785868A" w14:textId="7878ECEF" w:rsidR="00DC14FC" w:rsidRPr="00C77D99" w:rsidRDefault="00DC14FC" w:rsidP="00614AF5">
      <w:pPr>
        <w:pStyle w:val="ListParagraph"/>
        <w:numPr>
          <w:ilvl w:val="0"/>
          <w:numId w:val="5"/>
        </w:numPr>
        <w:spacing w:after="240"/>
      </w:pPr>
      <w:r w:rsidRPr="00C77D99">
        <w:t xml:space="preserve">take-away, attributed to 7% </w:t>
      </w:r>
    </w:p>
    <w:p w14:paraId="3887451C" w14:textId="52267E91" w:rsidR="00DC14FC" w:rsidRPr="00C77D99" w:rsidRDefault="00DC14FC" w:rsidP="00614AF5">
      <w:pPr>
        <w:pStyle w:val="ListParagraph"/>
        <w:numPr>
          <w:ilvl w:val="0"/>
          <w:numId w:val="5"/>
        </w:numPr>
        <w:spacing w:after="240"/>
      </w:pPr>
      <w:r w:rsidRPr="00C77D99">
        <w:t>bakery, attributed to 3%.</w:t>
      </w:r>
    </w:p>
    <w:p w14:paraId="302D504B" w14:textId="57698395" w:rsidR="00DC14FC" w:rsidRPr="00C77D99" w:rsidRDefault="00DC14FC" w:rsidP="0096592A">
      <w:pPr>
        <w:spacing w:after="240"/>
        <w:rPr>
          <w:rFonts w:cs="Arial"/>
          <w:szCs w:val="22"/>
        </w:rPr>
      </w:pPr>
      <w:r w:rsidRPr="00C77D99">
        <w:rPr>
          <w:rFonts w:cs="Arial"/>
          <w:szCs w:val="22"/>
        </w:rPr>
        <w:t xml:space="preserve">These results are similar to </w:t>
      </w:r>
      <w:r w:rsidR="00F476A3">
        <w:rPr>
          <w:rFonts w:cs="Arial"/>
          <w:szCs w:val="22"/>
        </w:rPr>
        <w:t>earlier</w:t>
      </w:r>
      <w:r w:rsidR="00F476A3" w:rsidRPr="00C77D99">
        <w:rPr>
          <w:rFonts w:cs="Arial"/>
          <w:szCs w:val="22"/>
        </w:rPr>
        <w:t xml:space="preserve"> </w:t>
      </w:r>
      <w:r w:rsidRPr="00C77D99">
        <w:rPr>
          <w:rFonts w:cs="Arial"/>
          <w:szCs w:val="22"/>
        </w:rPr>
        <w:t>report</w:t>
      </w:r>
      <w:r w:rsidR="00F476A3">
        <w:rPr>
          <w:rFonts w:cs="Arial"/>
          <w:szCs w:val="22"/>
        </w:rPr>
        <w:t>s</w:t>
      </w:r>
      <w:r w:rsidRPr="00C77D99">
        <w:rPr>
          <w:rFonts w:cs="Arial"/>
          <w:szCs w:val="22"/>
        </w:rPr>
        <w:t xml:space="preserve"> for Australia</w:t>
      </w:r>
      <w:r w:rsidR="00F476A3">
        <w:rPr>
          <w:rFonts w:cs="Arial"/>
          <w:szCs w:val="22"/>
        </w:rPr>
        <w:t xml:space="preserve">, indicating these settings are still a significant contributor </w:t>
      </w:r>
      <w:r w:rsidR="000D5652">
        <w:rPr>
          <w:rFonts w:cs="Arial"/>
          <w:szCs w:val="22"/>
        </w:rPr>
        <w:t>of reported</w:t>
      </w:r>
      <w:r w:rsidR="00F476A3">
        <w:rPr>
          <w:rFonts w:cs="Arial"/>
          <w:szCs w:val="22"/>
        </w:rPr>
        <w:t xml:space="preserve"> foodborne illness</w:t>
      </w:r>
      <w:r w:rsidRPr="00C77D99">
        <w:rPr>
          <w:rFonts w:cs="Arial"/>
          <w:szCs w:val="22"/>
        </w:rPr>
        <w:t>.</w:t>
      </w:r>
    </w:p>
    <w:p w14:paraId="7BF87E84" w14:textId="00A16813" w:rsidR="00DC14FC" w:rsidRDefault="00DC14FC" w:rsidP="0096592A">
      <w:pPr>
        <w:spacing w:after="240"/>
        <w:rPr>
          <w:rFonts w:cs="Arial"/>
          <w:szCs w:val="22"/>
        </w:rPr>
      </w:pPr>
      <w:r>
        <w:rPr>
          <w:rFonts w:cs="Arial"/>
        </w:rPr>
        <w:t>Where a specific food could be attributed to an outbreak, e</w:t>
      </w:r>
      <w:r w:rsidRPr="00C77D99">
        <w:rPr>
          <w:rFonts w:cs="Arial"/>
        </w:rPr>
        <w:t>ggs</w:t>
      </w:r>
      <w:r>
        <w:rPr>
          <w:rFonts w:cs="Arial"/>
        </w:rPr>
        <w:t xml:space="preserve"> (raw)</w:t>
      </w:r>
      <w:r w:rsidRPr="00C77D99">
        <w:rPr>
          <w:rFonts w:cs="Arial"/>
        </w:rPr>
        <w:t xml:space="preserve"> </w:t>
      </w:r>
      <w:r>
        <w:rPr>
          <w:rFonts w:cs="Arial"/>
        </w:rPr>
        <w:t>were reportedly the highest contributor to foodborne illness in these settings</w:t>
      </w:r>
      <w:r w:rsidRPr="00C77D99">
        <w:rPr>
          <w:rFonts w:cs="Arial"/>
          <w:szCs w:val="22"/>
        </w:rPr>
        <w:t xml:space="preserve">. </w:t>
      </w:r>
      <w:r w:rsidRPr="006F63BF">
        <w:rPr>
          <w:rFonts w:cs="Arial"/>
          <w:szCs w:val="22"/>
          <w:lang w:val="en-AU"/>
        </w:rPr>
        <w:t xml:space="preserve">In response to ongoing high rates of egg-related salmonellosis in Australia, including a series of outbreaks due to </w:t>
      </w:r>
      <w:r w:rsidRPr="006F63BF">
        <w:rPr>
          <w:rFonts w:cs="Arial"/>
          <w:i/>
          <w:iCs/>
          <w:szCs w:val="22"/>
          <w:lang w:val="en-AU"/>
        </w:rPr>
        <w:t>Salmonella</w:t>
      </w:r>
      <w:r w:rsidRPr="006F63BF">
        <w:rPr>
          <w:rFonts w:cs="Arial"/>
          <w:szCs w:val="22"/>
          <w:lang w:val="en-AU"/>
        </w:rPr>
        <w:t xml:space="preserve"> Enteritidis in 2018–19, FSANZ is currently reviewing the efficacy of existing regulatory and non-regulatory risk management measu</w:t>
      </w:r>
      <w:r w:rsidRPr="008D11D1">
        <w:rPr>
          <w:rFonts w:cs="Arial"/>
          <w:szCs w:val="22"/>
          <w:lang w:val="en-AU"/>
        </w:rPr>
        <w:t>res applying to the primary production, processing and distribution of eggs in Australia</w:t>
      </w:r>
      <w:r w:rsidRPr="006F63BF">
        <w:rPr>
          <w:rStyle w:val="FootnoteReference"/>
          <w:rFonts w:cs="Arial"/>
          <w:szCs w:val="22"/>
          <w:lang w:val="en-AU"/>
        </w:rPr>
        <w:footnoteReference w:id="4"/>
      </w:r>
      <w:r w:rsidRPr="006F63BF">
        <w:rPr>
          <w:rFonts w:cs="Arial"/>
          <w:szCs w:val="22"/>
          <w:lang w:val="en-AU"/>
        </w:rPr>
        <w:t>.</w:t>
      </w:r>
    </w:p>
    <w:p w14:paraId="219E3CC4" w14:textId="4465BEF4" w:rsidR="00DC14FC" w:rsidRPr="00C77D99" w:rsidRDefault="39F4E25D" w:rsidP="0096592A">
      <w:pPr>
        <w:spacing w:after="240"/>
        <w:rPr>
          <w:rFonts w:cs="Arial"/>
        </w:rPr>
      </w:pPr>
      <w:r w:rsidRPr="3C0957AF">
        <w:rPr>
          <w:rFonts w:cs="Arial"/>
        </w:rPr>
        <w:t>Compared to the other food settings</w:t>
      </w:r>
      <w:r w:rsidR="00DC14FC" w:rsidRPr="3C0957AF">
        <w:rPr>
          <w:rStyle w:val="FootnoteReference"/>
          <w:rFonts w:cs="Arial"/>
        </w:rPr>
        <w:footnoteReference w:id="5"/>
      </w:r>
      <w:r w:rsidRPr="3C0957AF">
        <w:rPr>
          <w:rFonts w:cs="Arial"/>
        </w:rPr>
        <w:t xml:space="preserve">, there were more varied sources of contamination, and more factors supporting bacterial growth and survival, identified in outbreaks from restaurants, commercial caterers or take-away settings. These included </w:t>
      </w:r>
      <w:r w:rsidRPr="3C0957AF">
        <w:rPr>
          <w:rFonts w:cs="Arial"/>
          <w:lang w:bidi="ar-SA"/>
        </w:rPr>
        <w:t xml:space="preserve">ingestion of contaminated raw products, inadequate cleaning of equipment, cross contamination from raw ingredients, insufficient cooking, </w:t>
      </w:r>
      <w:r w:rsidR="7B5028F3" w:rsidRPr="3C0957AF">
        <w:rPr>
          <w:rFonts w:cs="Arial"/>
          <w:lang w:bidi="ar-SA"/>
        </w:rPr>
        <w:t>inadequate</w:t>
      </w:r>
      <w:r w:rsidRPr="3C0957AF">
        <w:rPr>
          <w:rFonts w:cs="Arial"/>
          <w:lang w:bidi="ar-SA"/>
        </w:rPr>
        <w:t xml:space="preserve"> temperature</w:t>
      </w:r>
      <w:r w:rsidR="7B5028F3" w:rsidRPr="3C0957AF">
        <w:rPr>
          <w:rFonts w:cs="Arial"/>
          <w:lang w:bidi="ar-SA"/>
        </w:rPr>
        <w:t xml:space="preserve"> control</w:t>
      </w:r>
      <w:r w:rsidRPr="3C0957AF">
        <w:rPr>
          <w:rFonts w:cs="Arial"/>
          <w:lang w:bidi="ar-SA"/>
        </w:rPr>
        <w:t xml:space="preserve"> and inadequate refrigeration. </w:t>
      </w:r>
    </w:p>
    <w:p w14:paraId="5DB00434" w14:textId="29F84B08" w:rsidR="00DC14FC" w:rsidRDefault="00DC14FC" w:rsidP="0096592A">
      <w:pPr>
        <w:spacing w:after="240"/>
        <w:rPr>
          <w:rFonts w:cs="Arial"/>
        </w:rPr>
      </w:pPr>
      <w:r w:rsidRPr="00C77D99">
        <w:rPr>
          <w:rFonts w:cs="Arial"/>
        </w:rPr>
        <w:t>To reduce foodborne illness, interventions targeted to these sectors need to be multi-faceted</w:t>
      </w:r>
      <w:r>
        <w:rPr>
          <w:rFonts w:cs="Arial"/>
        </w:rPr>
        <w:t xml:space="preserve"> to address multiple high-risk activities</w:t>
      </w:r>
      <w:r w:rsidRPr="00C77D99">
        <w:rPr>
          <w:rFonts w:cs="Arial"/>
        </w:rPr>
        <w:t>. Measures aimed at strong food safety awareness and knowledge of appropriate food handling</w:t>
      </w:r>
      <w:r w:rsidR="008C2EA6">
        <w:rPr>
          <w:rFonts w:cs="Arial"/>
        </w:rPr>
        <w:t>—</w:t>
      </w:r>
      <w:r w:rsidRPr="00C77D99">
        <w:rPr>
          <w:rFonts w:cs="Arial"/>
        </w:rPr>
        <w:t>from initial receipt through all stages of processing, storage and service of food to consumers</w:t>
      </w:r>
      <w:r w:rsidR="008C2EA6">
        <w:rPr>
          <w:rFonts w:cs="Arial"/>
        </w:rPr>
        <w:t>—</w:t>
      </w:r>
      <w:r>
        <w:rPr>
          <w:rFonts w:cs="Arial"/>
        </w:rPr>
        <w:t>should improve the current situation</w:t>
      </w:r>
      <w:r w:rsidRPr="00C77D99">
        <w:rPr>
          <w:rFonts w:cs="Arial"/>
        </w:rPr>
        <w:t>.</w:t>
      </w:r>
    </w:p>
    <w:p w14:paraId="7F593590" w14:textId="77777777" w:rsidR="00842F38" w:rsidRPr="00C77D99" w:rsidRDefault="00842F38" w:rsidP="0096592A">
      <w:pPr>
        <w:pStyle w:val="Heading3"/>
      </w:pPr>
      <w:bookmarkStart w:id="59" w:name="_Toc94172650"/>
      <w:bookmarkStart w:id="60" w:name="_Toc109300411"/>
      <w:r w:rsidRPr="00C77D99">
        <w:t xml:space="preserve">Review of business sector classifications </w:t>
      </w:r>
      <w:r>
        <w:t>based on food safety risk</w:t>
      </w:r>
      <w:bookmarkEnd w:id="59"/>
      <w:bookmarkEnd w:id="60"/>
      <w:r>
        <w:t xml:space="preserve"> </w:t>
      </w:r>
    </w:p>
    <w:p w14:paraId="23233E33" w14:textId="5508C692" w:rsidR="00317507" w:rsidRDefault="1C8394C5" w:rsidP="0096592A">
      <w:pPr>
        <w:spacing w:after="240"/>
        <w:rPr>
          <w:rFonts w:eastAsiaTheme="minorEastAsia" w:cs="Arial"/>
        </w:rPr>
      </w:pPr>
      <w:r w:rsidRPr="342FFC39">
        <w:rPr>
          <w:rFonts w:eastAsiaTheme="minorEastAsia" w:cs="Arial"/>
        </w:rPr>
        <w:t xml:space="preserve">In 2011, </w:t>
      </w:r>
      <w:r w:rsidR="7682ECA5" w:rsidRPr="342FFC39">
        <w:rPr>
          <w:rFonts w:eastAsiaTheme="minorEastAsia" w:cs="Arial"/>
        </w:rPr>
        <w:t xml:space="preserve">eight food service and food retail business types were assigned high-risk priority classifications (Priority 1 and 2) by </w:t>
      </w:r>
      <w:r w:rsidRPr="342FFC39">
        <w:rPr>
          <w:rFonts w:eastAsiaTheme="minorEastAsia" w:cs="Arial"/>
        </w:rPr>
        <w:t xml:space="preserve">the Department of Health and Ageing </w:t>
      </w:r>
      <w:r w:rsidR="7682ECA5" w:rsidRPr="342FFC39">
        <w:rPr>
          <w:rFonts w:eastAsiaTheme="minorEastAsia" w:cs="Arial"/>
        </w:rPr>
        <w:t xml:space="preserve">using a national </w:t>
      </w:r>
      <w:hyperlink r:id="rId29">
        <w:r w:rsidR="7682ECA5" w:rsidRPr="342FFC39">
          <w:rPr>
            <w:rStyle w:val="Hyperlink"/>
            <w:rFonts w:eastAsiaTheme="minorEastAsia" w:cs="Arial"/>
          </w:rPr>
          <w:t>Framework</w:t>
        </w:r>
      </w:hyperlink>
      <w:r w:rsidRPr="342FFC39">
        <w:rPr>
          <w:rFonts w:eastAsiaTheme="minorEastAsia" w:cs="Arial"/>
        </w:rPr>
        <w:t xml:space="preserve">. </w:t>
      </w:r>
    </w:p>
    <w:p w14:paraId="341DAA31" w14:textId="12272E2C" w:rsidR="00842F38" w:rsidRPr="00C77D99" w:rsidRDefault="1C8394C5" w:rsidP="0096592A">
      <w:pPr>
        <w:spacing w:after="240"/>
      </w:pPr>
      <w:r>
        <w:t>FSANZ reviewed</w:t>
      </w:r>
      <w:r w:rsidRPr="342FFC39">
        <w:rPr>
          <w:rFonts w:cs="Arial"/>
          <w:lang w:bidi="ar-SA"/>
        </w:rPr>
        <w:t xml:space="preserve"> the classifications for these business sectors</w:t>
      </w:r>
      <w:r w:rsidRPr="342FFC39">
        <w:rPr>
          <w:rFonts w:cs="Arial"/>
        </w:rPr>
        <w:t xml:space="preserve">, </w:t>
      </w:r>
      <w:r w:rsidR="7682ECA5" w:rsidRPr="342FFC39">
        <w:rPr>
          <w:rFonts w:cs="Arial"/>
        </w:rPr>
        <w:t>using</w:t>
      </w:r>
      <w:r w:rsidRPr="342FFC39">
        <w:rPr>
          <w:rFonts w:cs="Arial"/>
        </w:rPr>
        <w:t xml:space="preserve"> more recent data</w:t>
      </w:r>
      <w:r w:rsidR="7682ECA5" w:rsidRPr="342FFC39">
        <w:rPr>
          <w:rFonts w:cs="Arial"/>
        </w:rPr>
        <w:t>,</w:t>
      </w:r>
      <w:r w:rsidR="4C91511F" w:rsidRPr="342FFC39">
        <w:rPr>
          <w:rFonts w:cs="Arial"/>
        </w:rPr>
        <w:t xml:space="preserve"> to determine if they remain high risk. We</w:t>
      </w:r>
      <w:r w:rsidRPr="342FFC39">
        <w:rPr>
          <w:rFonts w:cs="Arial"/>
        </w:rPr>
        <w:t xml:space="preserve"> found </w:t>
      </w:r>
      <w:r w:rsidR="4EB6B12C" w:rsidRPr="342FFC39">
        <w:rPr>
          <w:rFonts w:cs="Arial"/>
        </w:rPr>
        <w:t>most</w:t>
      </w:r>
      <w:r w:rsidRPr="342FFC39">
        <w:rPr>
          <w:rFonts w:cs="Arial"/>
        </w:rPr>
        <w:t xml:space="preserve"> </w:t>
      </w:r>
      <w:r w:rsidR="4C91511F" w:rsidRPr="342FFC39">
        <w:rPr>
          <w:rFonts w:cs="Arial"/>
        </w:rPr>
        <w:t xml:space="preserve">classifications </w:t>
      </w:r>
      <w:r w:rsidRPr="342FFC39">
        <w:rPr>
          <w:rFonts w:cs="Arial"/>
        </w:rPr>
        <w:t>are still relevant. The</w:t>
      </w:r>
      <w:r w:rsidR="006707EC">
        <w:rPr>
          <w:rFonts w:cs="Arial"/>
        </w:rPr>
        <w:t>y</w:t>
      </w:r>
      <w:r w:rsidRPr="342FFC39">
        <w:rPr>
          <w:rFonts w:cs="Arial"/>
        </w:rPr>
        <w:t xml:space="preserve"> are</w:t>
      </w:r>
      <w:r w:rsidR="4C91511F" w:rsidRPr="342FFC39">
        <w:rPr>
          <w:rFonts w:cs="Arial"/>
        </w:rPr>
        <w:t xml:space="preserve"> </w:t>
      </w:r>
      <w:r w:rsidR="6CE8EE70" w:rsidRPr="342FFC39">
        <w:rPr>
          <w:rFonts w:cs="Arial"/>
        </w:rPr>
        <w:t>included</w:t>
      </w:r>
      <w:r w:rsidR="4C91511F" w:rsidRPr="342FFC39">
        <w:rPr>
          <w:rFonts w:cs="Arial"/>
        </w:rPr>
        <w:t xml:space="preserve"> in</w:t>
      </w:r>
      <w:r w:rsidRPr="342FFC39">
        <w:rPr>
          <w:rFonts w:cs="Arial"/>
        </w:rPr>
        <w:t xml:space="preserve"> Table </w:t>
      </w:r>
      <w:r w:rsidR="6CE8EE70" w:rsidRPr="342FFC39">
        <w:rPr>
          <w:rFonts w:cs="Arial"/>
        </w:rPr>
        <w:t xml:space="preserve">1 with </w:t>
      </w:r>
      <w:r w:rsidR="4C91511F" w:rsidRPr="342FFC39">
        <w:rPr>
          <w:rFonts w:eastAsiaTheme="minorEastAsia" w:cs="Arial"/>
        </w:rPr>
        <w:t xml:space="preserve">details in our </w:t>
      </w:r>
      <w:hyperlink r:id="rId30">
        <w:r w:rsidR="4C91511F" w:rsidRPr="342FFC39">
          <w:rPr>
            <w:rStyle w:val="Hyperlink"/>
            <w:rFonts w:eastAsiaTheme="minorEastAsia" w:cs="Arial"/>
          </w:rPr>
          <w:t>risk profile</w:t>
        </w:r>
      </w:hyperlink>
      <w:r w:rsidR="4C91511F" w:rsidRPr="342FFC39">
        <w:rPr>
          <w:rStyle w:val="Hyperlink"/>
          <w:rFonts w:eastAsiaTheme="minorEastAsia" w:cs="Arial"/>
        </w:rPr>
        <w:t>)</w:t>
      </w:r>
      <w:r w:rsidRPr="342FFC39">
        <w:rPr>
          <w:rFonts w:cs="Arial"/>
        </w:rPr>
        <w:t xml:space="preserve">. </w:t>
      </w:r>
    </w:p>
    <w:p w14:paraId="7116DB5C" w14:textId="77777777" w:rsidR="00842F38" w:rsidRPr="00C77D99" w:rsidRDefault="00842F38" w:rsidP="0096592A">
      <w:pPr>
        <w:pStyle w:val="Heading3"/>
      </w:pPr>
      <w:bookmarkStart w:id="61" w:name="_Toc94172651"/>
      <w:bookmarkStart w:id="62" w:name="_Toc109300412"/>
      <w:r w:rsidRPr="00C77D99">
        <w:t xml:space="preserve">Priority categorisation of </w:t>
      </w:r>
      <w:r>
        <w:t xml:space="preserve">food </w:t>
      </w:r>
      <w:r w:rsidRPr="00C77D99">
        <w:t>handling activities</w:t>
      </w:r>
      <w:bookmarkEnd w:id="61"/>
      <w:bookmarkEnd w:id="62"/>
      <w:r w:rsidRPr="00C77D99">
        <w:t xml:space="preserve"> </w:t>
      </w:r>
    </w:p>
    <w:p w14:paraId="23AF3A35" w14:textId="03C7734D" w:rsidR="00317507" w:rsidRDefault="1C8394C5" w:rsidP="0096592A">
      <w:pPr>
        <w:spacing w:after="240"/>
        <w:rPr>
          <w:shd w:val="clear" w:color="auto" w:fill="FFFFFF"/>
        </w:rPr>
      </w:pPr>
      <w:r>
        <w:t xml:space="preserve">The nationally agreed Framework has been adopted for use in some Australian jurisdictions, while other jurisdictions use an alternative classification system. </w:t>
      </w:r>
      <w:r>
        <w:rPr>
          <w:rFonts w:cs="Arial"/>
          <w:lang w:val="en-AU"/>
        </w:rPr>
        <w:t xml:space="preserve">Given the risk classification approach </w:t>
      </w:r>
      <w:r w:rsidR="4C91511F">
        <w:rPr>
          <w:rFonts w:cs="Arial"/>
          <w:lang w:val="en-AU"/>
        </w:rPr>
        <w:t xml:space="preserve">for businesses </w:t>
      </w:r>
      <w:r>
        <w:rPr>
          <w:rFonts w:cs="Arial"/>
          <w:lang w:val="en-AU"/>
        </w:rPr>
        <w:t>varies across jurisdictions</w:t>
      </w:r>
      <w:r w:rsidR="4C91511F">
        <w:rPr>
          <w:rFonts w:cs="Arial"/>
          <w:lang w:val="en-AU"/>
        </w:rPr>
        <w:t xml:space="preserve"> (</w:t>
      </w:r>
      <w:hyperlink w:anchor="_1.3_Current_status" w:history="1">
        <w:r w:rsidR="4C91511F" w:rsidRPr="006B11F0">
          <w:rPr>
            <w:rStyle w:val="Hyperlink"/>
            <w:rFonts w:cs="Arial"/>
            <w:lang w:val="en-AU"/>
          </w:rPr>
          <w:t xml:space="preserve">see </w:t>
        </w:r>
        <w:r w:rsidR="00003CCC" w:rsidRPr="006B11F0">
          <w:rPr>
            <w:rStyle w:val="Hyperlink"/>
          </w:rPr>
          <w:t>DRIS section 1.3</w:t>
        </w:r>
      </w:hyperlink>
      <w:r w:rsidR="621E59E4">
        <w:rPr>
          <w:rFonts w:cs="Arial"/>
          <w:lang w:val="en-AU"/>
        </w:rPr>
        <w:t xml:space="preserve">), </w:t>
      </w:r>
      <w:r>
        <w:rPr>
          <w:rFonts w:cs="Arial"/>
          <w:lang w:val="en-AU"/>
        </w:rPr>
        <w:t xml:space="preserve">FSANZ considered an alternate way </w:t>
      </w:r>
      <w:r w:rsidRPr="00C77D99">
        <w:rPr>
          <w:rFonts w:cs="Arial"/>
          <w:lang w:val="en-AU"/>
        </w:rPr>
        <w:t xml:space="preserve">of </w:t>
      </w:r>
      <w:r>
        <w:rPr>
          <w:rFonts w:cs="Arial"/>
          <w:lang w:val="en-AU"/>
        </w:rPr>
        <w:t>categorising</w:t>
      </w:r>
      <w:r w:rsidRPr="00C77D99">
        <w:rPr>
          <w:rFonts w:cs="Arial"/>
          <w:lang w:val="en-AU"/>
        </w:rPr>
        <w:t xml:space="preserve"> business</w:t>
      </w:r>
      <w:r>
        <w:rPr>
          <w:rFonts w:cs="Arial"/>
          <w:lang w:val="en-AU"/>
        </w:rPr>
        <w:t>es</w:t>
      </w:r>
      <w:r w:rsidRPr="00C77D99">
        <w:rPr>
          <w:rFonts w:cs="Arial"/>
          <w:lang w:val="en-AU"/>
        </w:rPr>
        <w:t xml:space="preserve"> based on food safety risks t</w:t>
      </w:r>
      <w:r w:rsidR="621E59E4" w:rsidRPr="342FFC39">
        <w:rPr>
          <w:rFonts w:cs="Arial"/>
          <w:lang w:val="en-AU"/>
        </w:rPr>
        <w:t>o support a national approach</w:t>
      </w:r>
      <w:r>
        <w:rPr>
          <w:rFonts w:cs="Arial"/>
          <w:lang w:val="en-AU"/>
        </w:rPr>
        <w:t xml:space="preserve">. We </w:t>
      </w:r>
      <w:r w:rsidRPr="00C77D99">
        <w:rPr>
          <w:rFonts w:cs="Arial"/>
        </w:rPr>
        <w:t>categorised the key food handling characteristics of businesses</w:t>
      </w:r>
      <w:r>
        <w:rPr>
          <w:rFonts w:cs="Arial"/>
        </w:rPr>
        <w:t xml:space="preserve"> in these sectors</w:t>
      </w:r>
      <w:r w:rsidRPr="00C77D99">
        <w:rPr>
          <w:rFonts w:cs="Arial"/>
        </w:rPr>
        <w:t xml:space="preserve">, </w:t>
      </w:r>
      <w:r w:rsidRPr="00C77D99">
        <w:rPr>
          <w:shd w:val="clear" w:color="auto" w:fill="FFFFFF"/>
        </w:rPr>
        <w:t xml:space="preserve">based on the number of food safety controls required, and the </w:t>
      </w:r>
      <w:r w:rsidRPr="00C77D99">
        <w:rPr>
          <w:shd w:val="clear" w:color="auto" w:fill="FFFFFF"/>
        </w:rPr>
        <w:lastRenderedPageBreak/>
        <w:t xml:space="preserve">proportion of Australian foodborne outbreaks and associated people ill. Results are summarised in </w:t>
      </w:r>
      <w:r>
        <w:rPr>
          <w:shd w:val="clear" w:color="auto" w:fill="FFFFFF"/>
        </w:rPr>
        <w:t>T</w:t>
      </w:r>
      <w:r w:rsidRPr="00C77D99">
        <w:rPr>
          <w:shd w:val="clear" w:color="auto" w:fill="FFFFFF"/>
        </w:rPr>
        <w:t>able</w:t>
      </w:r>
      <w:r>
        <w:rPr>
          <w:shd w:val="clear" w:color="auto" w:fill="FFFFFF"/>
        </w:rPr>
        <w:t xml:space="preserve"> </w:t>
      </w:r>
      <w:r w:rsidR="6CE8EE70">
        <w:rPr>
          <w:shd w:val="clear" w:color="auto" w:fill="FFFFFF"/>
        </w:rPr>
        <w:t>1</w:t>
      </w:r>
      <w:r>
        <w:rPr>
          <w:shd w:val="clear" w:color="auto" w:fill="FFFFFF"/>
        </w:rPr>
        <w:t>.</w:t>
      </w:r>
    </w:p>
    <w:p w14:paraId="419C6EBD" w14:textId="4746B4BC" w:rsidR="00842F38" w:rsidRDefault="1C8394C5" w:rsidP="0096592A">
      <w:pPr>
        <w:spacing w:after="240"/>
        <w:rPr>
          <w:shd w:val="clear" w:color="auto" w:fill="FFFFFF"/>
        </w:rPr>
      </w:pPr>
      <w:r w:rsidRPr="00C77D99">
        <w:rPr>
          <w:shd w:val="clear" w:color="auto" w:fill="FFFFFF"/>
        </w:rPr>
        <w:t xml:space="preserve">Handling activity 1, where </w:t>
      </w:r>
      <w:r>
        <w:rPr>
          <w:shd w:val="clear" w:color="auto" w:fill="FFFFFF"/>
        </w:rPr>
        <w:t>PHF</w:t>
      </w:r>
      <w:r w:rsidRPr="00C77D99">
        <w:rPr>
          <w:shd w:val="clear" w:color="auto" w:fill="FFFFFF"/>
        </w:rPr>
        <w:t xml:space="preserve"> is prepared in advance of serving, requires the greatest number of critical controls to manage food safety risks. There is a decreasing number of controls required to manage the safety of PHF with each subsequent handling activity (1 to 4).  </w:t>
      </w:r>
    </w:p>
    <w:p w14:paraId="295131F0" w14:textId="77777777" w:rsidR="00842F38" w:rsidRDefault="00842F38" w:rsidP="0096592A">
      <w:pPr>
        <w:spacing w:after="240"/>
        <w:rPr>
          <w:rFonts w:cs="Arial"/>
        </w:rPr>
      </w:pPr>
      <w:r w:rsidRPr="00C77D99">
        <w:rPr>
          <w:rFonts w:cs="Arial"/>
        </w:rPr>
        <w:t xml:space="preserve">While handling activity 1 requires more controls than handling activity 2, in practice both activities require similar knowledge and application of critical controls. Both activities involve high-risk </w:t>
      </w:r>
      <w:r w:rsidRPr="00C77D99">
        <w:rPr>
          <w:shd w:val="clear" w:color="auto" w:fill="FFFFFF"/>
        </w:rPr>
        <w:t>food that is ready to eat</w:t>
      </w:r>
      <w:r w:rsidRPr="00C77D99">
        <w:rPr>
          <w:rFonts w:cs="Arial"/>
        </w:rPr>
        <w:t>, so these controls are essential to both for food safety. As such, handling activity 1 and 2 have been grouped together in Category 1.</w:t>
      </w:r>
    </w:p>
    <w:p w14:paraId="461A2675" w14:textId="6960C640" w:rsidR="00672336" w:rsidRPr="00EE6137" w:rsidRDefault="00842F38" w:rsidP="00B23A93">
      <w:pPr>
        <w:spacing w:after="240"/>
        <w:rPr>
          <w:sz w:val="16"/>
          <w:szCs w:val="20"/>
          <w:shd w:val="clear" w:color="auto" w:fill="FFFFFF"/>
        </w:rPr>
      </w:pPr>
      <w:r w:rsidRPr="00C77D99">
        <w:rPr>
          <w:shd w:val="clear" w:color="auto" w:fill="FFFFFF"/>
        </w:rPr>
        <w:t xml:space="preserve">Most businesses in Category 1, who carry out food handling activities 1 and 2, are in the types of settings responsible for the most outbreaks and persons ill (i.e. restaurants, commercial caterers, takeaways, bakeries). Businesses in Category 2 </w:t>
      </w:r>
      <w:r>
        <w:rPr>
          <w:shd w:val="clear" w:color="auto" w:fill="FFFFFF"/>
        </w:rPr>
        <w:t xml:space="preserve">also </w:t>
      </w:r>
      <w:r w:rsidRPr="00C77D99">
        <w:rPr>
          <w:shd w:val="clear" w:color="auto" w:fill="FFFFFF"/>
        </w:rPr>
        <w:t>contribute to foodborne outbreaks</w:t>
      </w:r>
      <w:r>
        <w:rPr>
          <w:shd w:val="clear" w:color="auto" w:fill="FFFFFF"/>
        </w:rPr>
        <w:t>, but</w:t>
      </w:r>
      <w:r w:rsidRPr="00C77D99" w:rsidDel="002914FF">
        <w:rPr>
          <w:shd w:val="clear" w:color="auto" w:fill="FFFFFF"/>
        </w:rPr>
        <w:t xml:space="preserve"> </w:t>
      </w:r>
      <w:r w:rsidRPr="00C77D99">
        <w:rPr>
          <w:shd w:val="clear" w:color="auto" w:fill="FFFFFF"/>
        </w:rPr>
        <w:t xml:space="preserve">less frequently. There is little evidence that businesses in Category 3 contribute to outbreaks. </w:t>
      </w:r>
    </w:p>
    <w:p w14:paraId="1E9F71DF" w14:textId="43AF27FE" w:rsidR="00842F38" w:rsidRPr="00317507" w:rsidRDefault="1C8394C5" w:rsidP="342FFC39">
      <w:pPr>
        <w:pStyle w:val="Caption"/>
        <w:keepNext/>
        <w:rPr>
          <w:b/>
          <w:bCs/>
          <w:color w:val="auto"/>
          <w:sz w:val="20"/>
          <w:szCs w:val="20"/>
        </w:rPr>
      </w:pPr>
      <w:r w:rsidRPr="342FFC39">
        <w:rPr>
          <w:b/>
          <w:bCs/>
          <w:color w:val="auto"/>
          <w:sz w:val="20"/>
          <w:szCs w:val="20"/>
        </w:rPr>
        <w:t xml:space="preserve">Table </w:t>
      </w:r>
      <w:r w:rsidR="6CE8EE70" w:rsidRPr="342FFC39">
        <w:rPr>
          <w:b/>
          <w:bCs/>
          <w:color w:val="auto"/>
          <w:sz w:val="20"/>
          <w:szCs w:val="20"/>
        </w:rPr>
        <w:t>1</w:t>
      </w:r>
      <w:r w:rsidRPr="342FFC39">
        <w:rPr>
          <w:b/>
          <w:bCs/>
          <w:color w:val="auto"/>
          <w:sz w:val="20"/>
          <w:szCs w:val="20"/>
        </w:rPr>
        <w:t>: Risk categorisation of businesses based on sector and handling activities</w:t>
      </w:r>
    </w:p>
    <w:tbl>
      <w:tblPr>
        <w:tblW w:w="1006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Caption w:val="Mapping of handling activities based on food safety risks"/>
        <w:tblDescription w:val="This table shows how the priority business sectors in the Ministerial Policy Guidelines are mapped to the three food handling categories FSANZ used to risk profile businesses. &#10;"/>
      </w:tblPr>
      <w:tblGrid>
        <w:gridCol w:w="3539"/>
        <w:gridCol w:w="2977"/>
        <w:gridCol w:w="3544"/>
      </w:tblGrid>
      <w:tr w:rsidR="00842F38" w:rsidRPr="00EF6E55" w14:paraId="786E6146" w14:textId="77777777" w:rsidTr="342FFC39">
        <w:trPr>
          <w:trHeight w:val="391"/>
          <w:tblHeader/>
        </w:trPr>
        <w:tc>
          <w:tcPr>
            <w:tcW w:w="3539" w:type="dxa"/>
            <w:shd w:val="clear" w:color="auto" w:fill="D9D9D9" w:themeFill="background1" w:themeFillShade="D9"/>
          </w:tcPr>
          <w:p w14:paraId="65E04735" w14:textId="77777777" w:rsidR="00842F38" w:rsidRPr="00EF6E55" w:rsidRDefault="00842F38" w:rsidP="00787C57">
            <w:pPr>
              <w:rPr>
                <w:b/>
                <w:sz w:val="20"/>
                <w:szCs w:val="20"/>
                <w:shd w:val="clear" w:color="auto" w:fill="FFFFFF"/>
              </w:rPr>
            </w:pPr>
            <w:r w:rsidRPr="00EF6E55">
              <w:rPr>
                <w:b/>
                <w:sz w:val="20"/>
                <w:szCs w:val="20"/>
                <w:highlight w:val="lightGray"/>
                <w:shd w:val="clear" w:color="auto" w:fill="FFFFFF"/>
              </w:rPr>
              <w:t>Category</w:t>
            </w:r>
          </w:p>
          <w:p w14:paraId="6818BC3B" w14:textId="77777777" w:rsidR="00842F38" w:rsidRPr="00EF6E55" w:rsidRDefault="00842F38" w:rsidP="00787C57">
            <w:pPr>
              <w:jc w:val="center"/>
              <w:rPr>
                <w:b/>
                <w:sz w:val="20"/>
                <w:szCs w:val="20"/>
                <w:shd w:val="clear" w:color="auto" w:fill="FFFFFF"/>
              </w:rPr>
            </w:pPr>
          </w:p>
        </w:tc>
        <w:tc>
          <w:tcPr>
            <w:tcW w:w="2977" w:type="dxa"/>
            <w:shd w:val="clear" w:color="auto" w:fill="D9D9D9" w:themeFill="background1" w:themeFillShade="D9"/>
          </w:tcPr>
          <w:p w14:paraId="17FA0691" w14:textId="77777777" w:rsidR="00842F38" w:rsidRPr="00EF6E55" w:rsidRDefault="00842F38" w:rsidP="00787C57">
            <w:pPr>
              <w:rPr>
                <w:b/>
                <w:sz w:val="20"/>
                <w:szCs w:val="20"/>
                <w:highlight w:val="lightGray"/>
                <w:shd w:val="clear" w:color="auto" w:fill="FFFFFF"/>
              </w:rPr>
            </w:pPr>
            <w:r w:rsidRPr="00EF6E55">
              <w:rPr>
                <w:b/>
                <w:sz w:val="20"/>
                <w:szCs w:val="20"/>
                <w:highlight w:val="lightGray"/>
                <w:shd w:val="clear" w:color="auto" w:fill="FFFFFF"/>
              </w:rPr>
              <w:t>Handling activities</w:t>
            </w:r>
          </w:p>
        </w:tc>
        <w:tc>
          <w:tcPr>
            <w:tcW w:w="3544" w:type="dxa"/>
            <w:shd w:val="clear" w:color="auto" w:fill="D9D9D9" w:themeFill="background1" w:themeFillShade="D9"/>
          </w:tcPr>
          <w:p w14:paraId="6DDAA810" w14:textId="77777777" w:rsidR="00842F38" w:rsidRPr="00EF6E55" w:rsidRDefault="00842F38" w:rsidP="00787C57">
            <w:pPr>
              <w:rPr>
                <w:b/>
                <w:sz w:val="20"/>
                <w:szCs w:val="20"/>
                <w:highlight w:val="lightGray"/>
                <w:shd w:val="clear" w:color="auto" w:fill="FFFFFF"/>
              </w:rPr>
            </w:pPr>
            <w:r>
              <w:rPr>
                <w:b/>
                <w:sz w:val="20"/>
                <w:szCs w:val="20"/>
                <w:highlight w:val="lightGray"/>
                <w:shd w:val="clear" w:color="auto" w:fill="FFFFFF"/>
              </w:rPr>
              <w:t>Associated p</w:t>
            </w:r>
            <w:r w:rsidRPr="00EF6E55">
              <w:rPr>
                <w:b/>
                <w:sz w:val="20"/>
                <w:szCs w:val="20"/>
                <w:highlight w:val="lightGray"/>
                <w:shd w:val="clear" w:color="auto" w:fill="FFFFFF"/>
              </w:rPr>
              <w:t>riority business sectors and classification</w:t>
            </w:r>
          </w:p>
        </w:tc>
      </w:tr>
      <w:tr w:rsidR="00842F38" w:rsidRPr="00EF6E55" w14:paraId="50D77575" w14:textId="77777777" w:rsidTr="342FFC39">
        <w:trPr>
          <w:trHeight w:val="2792"/>
        </w:trPr>
        <w:tc>
          <w:tcPr>
            <w:tcW w:w="3539" w:type="dxa"/>
          </w:tcPr>
          <w:p w14:paraId="3D96B730" w14:textId="77777777" w:rsidR="00842F38" w:rsidRPr="00EF6E55" w:rsidRDefault="00842F38" w:rsidP="00787C57">
            <w:pPr>
              <w:rPr>
                <w:b/>
                <w:sz w:val="20"/>
                <w:szCs w:val="20"/>
                <w:u w:val="single"/>
                <w:shd w:val="clear" w:color="auto" w:fill="FFFFFF"/>
              </w:rPr>
            </w:pPr>
            <w:r w:rsidRPr="00EF6E55">
              <w:rPr>
                <w:b/>
                <w:sz w:val="20"/>
                <w:szCs w:val="20"/>
                <w:u w:val="single"/>
                <w:shd w:val="clear" w:color="auto" w:fill="FFFFFF"/>
              </w:rPr>
              <w:t xml:space="preserve">Category 1 </w:t>
            </w:r>
          </w:p>
          <w:p w14:paraId="59FE708C" w14:textId="77777777" w:rsidR="00842F38" w:rsidRPr="00EF6E55" w:rsidRDefault="00842F38" w:rsidP="00787C57">
            <w:pPr>
              <w:rPr>
                <w:sz w:val="20"/>
                <w:szCs w:val="20"/>
                <w:shd w:val="clear" w:color="auto" w:fill="FFFFFF"/>
              </w:rPr>
            </w:pPr>
            <w:r w:rsidRPr="00EF6E55">
              <w:rPr>
                <w:sz w:val="20"/>
                <w:szCs w:val="20"/>
                <w:shd w:val="clear" w:color="auto" w:fill="FFFFFF"/>
              </w:rPr>
              <w:t xml:space="preserve">Those handling activities that: </w:t>
            </w:r>
          </w:p>
          <w:p w14:paraId="113088F9" w14:textId="77777777" w:rsidR="00842F38" w:rsidRPr="00EF6E55" w:rsidRDefault="00842F38" w:rsidP="00614AF5">
            <w:pPr>
              <w:pStyle w:val="ListParagraph"/>
              <w:numPr>
                <w:ilvl w:val="0"/>
                <w:numId w:val="6"/>
              </w:numPr>
              <w:ind w:left="168" w:hanging="142"/>
              <w:rPr>
                <w:sz w:val="20"/>
                <w:szCs w:val="20"/>
                <w:shd w:val="clear" w:color="auto" w:fill="FFFFFF"/>
              </w:rPr>
            </w:pPr>
            <w:r w:rsidRPr="00EF6E55">
              <w:rPr>
                <w:sz w:val="20"/>
                <w:szCs w:val="20"/>
                <w:shd w:val="clear" w:color="auto" w:fill="FFFFFF"/>
              </w:rPr>
              <w:t>require the greatest number of controls critical to the safety of food prepared by the business, and</w:t>
            </w:r>
          </w:p>
          <w:p w14:paraId="0E037155" w14:textId="77777777" w:rsidR="00842F38" w:rsidRPr="00EF6E55" w:rsidRDefault="00842F38" w:rsidP="00614AF5">
            <w:pPr>
              <w:pStyle w:val="ListParagraph"/>
              <w:numPr>
                <w:ilvl w:val="0"/>
                <w:numId w:val="6"/>
              </w:numPr>
              <w:ind w:left="168" w:hanging="142"/>
              <w:rPr>
                <w:sz w:val="20"/>
                <w:szCs w:val="20"/>
                <w:shd w:val="clear" w:color="auto" w:fill="FFFFFF"/>
              </w:rPr>
            </w:pPr>
            <w:r w:rsidRPr="00EF6E55">
              <w:rPr>
                <w:sz w:val="20"/>
                <w:szCs w:val="20"/>
                <w:shd w:val="clear" w:color="auto" w:fill="FFFFFF"/>
              </w:rPr>
              <w:t xml:space="preserve">are most likely to be undertaken by business sectors associated with a high proportion of Australian foodborne illness outbreaks. </w:t>
            </w:r>
          </w:p>
        </w:tc>
        <w:tc>
          <w:tcPr>
            <w:tcW w:w="2977" w:type="dxa"/>
          </w:tcPr>
          <w:p w14:paraId="351F7830" w14:textId="6BBFC3A8" w:rsidR="00842F38" w:rsidRPr="00EF6E55" w:rsidRDefault="1C8394C5" w:rsidP="00787C57">
            <w:pPr>
              <w:rPr>
                <w:sz w:val="20"/>
                <w:szCs w:val="20"/>
                <w:shd w:val="clear" w:color="auto" w:fill="FFFFFF"/>
              </w:rPr>
            </w:pPr>
            <w:r w:rsidRPr="342FFC39">
              <w:rPr>
                <w:b/>
                <w:bCs/>
                <w:sz w:val="20"/>
                <w:szCs w:val="20"/>
                <w:shd w:val="clear" w:color="auto" w:fill="FFFFFF"/>
              </w:rPr>
              <w:t>Handling activity 1:</w:t>
            </w:r>
            <w:r w:rsidRPr="00EF6E55">
              <w:rPr>
                <w:sz w:val="20"/>
                <w:szCs w:val="20"/>
                <w:shd w:val="clear" w:color="auto" w:fill="FFFFFF"/>
              </w:rPr>
              <w:t xml:space="preserve"> process</w:t>
            </w:r>
            <w:r w:rsidR="7AE6F31D">
              <w:rPr>
                <w:sz w:val="20"/>
                <w:szCs w:val="20"/>
                <w:shd w:val="clear" w:color="auto" w:fill="FFFFFF"/>
              </w:rPr>
              <w:t xml:space="preserve"> unpackaged</w:t>
            </w:r>
            <w:r w:rsidRPr="00EF6E55">
              <w:rPr>
                <w:sz w:val="20"/>
                <w:szCs w:val="20"/>
                <w:shd w:val="clear" w:color="auto" w:fill="FFFFFF"/>
              </w:rPr>
              <w:t xml:space="preserve"> high-risk potentially hazardous food in advance of serving the ready to eat (RTE) food to the consumer.</w:t>
            </w:r>
          </w:p>
          <w:p w14:paraId="135286A8" w14:textId="77777777" w:rsidR="00842F38" w:rsidRPr="00EF6E55" w:rsidRDefault="00842F38" w:rsidP="00787C57">
            <w:pPr>
              <w:rPr>
                <w:sz w:val="20"/>
                <w:szCs w:val="20"/>
                <w:shd w:val="clear" w:color="auto" w:fill="FFFFFF"/>
              </w:rPr>
            </w:pPr>
          </w:p>
          <w:p w14:paraId="60049DDE" w14:textId="555D18AD" w:rsidR="00842F38" w:rsidRPr="00EF6E55" w:rsidRDefault="00842F38" w:rsidP="00787C57">
            <w:pPr>
              <w:rPr>
                <w:sz w:val="20"/>
                <w:szCs w:val="20"/>
                <w:shd w:val="clear" w:color="auto" w:fill="FFFFFF"/>
              </w:rPr>
            </w:pPr>
            <w:r w:rsidRPr="00EF6E55">
              <w:rPr>
                <w:b/>
                <w:sz w:val="20"/>
                <w:szCs w:val="20"/>
                <w:shd w:val="clear" w:color="auto" w:fill="FFFFFF"/>
              </w:rPr>
              <w:t>Handling activity 2:</w:t>
            </w:r>
            <w:r w:rsidRPr="00EF6E55">
              <w:rPr>
                <w:sz w:val="20"/>
                <w:szCs w:val="20"/>
                <w:shd w:val="clear" w:color="auto" w:fill="FFFFFF"/>
              </w:rPr>
              <w:t xml:space="preserve"> process and serve </w:t>
            </w:r>
            <w:r w:rsidR="000A382C">
              <w:rPr>
                <w:sz w:val="20"/>
                <w:szCs w:val="20"/>
                <w:shd w:val="clear" w:color="auto" w:fill="FFFFFF"/>
              </w:rPr>
              <w:t xml:space="preserve">unpackaged </w:t>
            </w:r>
            <w:r w:rsidRPr="00EF6E55">
              <w:rPr>
                <w:sz w:val="20"/>
                <w:szCs w:val="20"/>
                <w:shd w:val="clear" w:color="auto" w:fill="FFFFFF"/>
              </w:rPr>
              <w:t>high</w:t>
            </w:r>
            <w:r>
              <w:rPr>
                <w:sz w:val="20"/>
                <w:szCs w:val="20"/>
                <w:shd w:val="clear" w:color="auto" w:fill="FFFFFF"/>
              </w:rPr>
              <w:t>-</w:t>
            </w:r>
            <w:r w:rsidRPr="00EF6E55">
              <w:rPr>
                <w:sz w:val="20"/>
                <w:szCs w:val="20"/>
                <w:shd w:val="clear" w:color="auto" w:fill="FFFFFF"/>
              </w:rPr>
              <w:t>risk potentially hazardous food as RTE food to the consumer in a time period that does not adversely affect the microbiological safety of the food.</w:t>
            </w:r>
          </w:p>
        </w:tc>
        <w:tc>
          <w:tcPr>
            <w:tcW w:w="3544" w:type="dxa"/>
          </w:tcPr>
          <w:p w14:paraId="2C292863" w14:textId="61313760" w:rsidR="00842F38" w:rsidRPr="00574F1C" w:rsidRDefault="1C8394C5" w:rsidP="00574F1C">
            <w:pPr>
              <w:pStyle w:val="ListParagraph"/>
              <w:numPr>
                <w:ilvl w:val="0"/>
                <w:numId w:val="99"/>
              </w:numPr>
              <w:rPr>
                <w:sz w:val="20"/>
                <w:szCs w:val="20"/>
                <w:shd w:val="clear" w:color="auto" w:fill="FFFFFF"/>
              </w:rPr>
            </w:pPr>
            <w:r w:rsidRPr="00574F1C">
              <w:rPr>
                <w:sz w:val="20"/>
                <w:szCs w:val="20"/>
                <w:shd w:val="clear" w:color="auto" w:fill="FFFFFF"/>
              </w:rPr>
              <w:t>Food service: commercial catering Priority 1 (P1)*</w:t>
            </w:r>
          </w:p>
          <w:p w14:paraId="41FF3688" w14:textId="77777777" w:rsidR="00842F38" w:rsidRPr="00574F1C" w:rsidRDefault="00842F38" w:rsidP="00574F1C">
            <w:pPr>
              <w:pStyle w:val="ListParagraph"/>
              <w:numPr>
                <w:ilvl w:val="0"/>
                <w:numId w:val="99"/>
              </w:numPr>
              <w:rPr>
                <w:sz w:val="20"/>
                <w:szCs w:val="20"/>
                <w:shd w:val="clear" w:color="auto" w:fill="FFFFFF"/>
              </w:rPr>
            </w:pPr>
            <w:r w:rsidRPr="00574F1C">
              <w:rPr>
                <w:sz w:val="20"/>
                <w:szCs w:val="20"/>
                <w:shd w:val="clear" w:color="auto" w:fill="FFFFFF"/>
              </w:rPr>
              <w:t>Food service: eating establishments - RTE prepared in advance (P1)</w:t>
            </w:r>
          </w:p>
          <w:p w14:paraId="76DBCDB4" w14:textId="77777777" w:rsidR="00842F38" w:rsidRPr="00574F1C" w:rsidRDefault="00842F38" w:rsidP="00574F1C">
            <w:pPr>
              <w:pStyle w:val="ListParagraph"/>
              <w:numPr>
                <w:ilvl w:val="0"/>
                <w:numId w:val="99"/>
              </w:numPr>
              <w:rPr>
                <w:sz w:val="20"/>
                <w:szCs w:val="20"/>
                <w:shd w:val="clear" w:color="auto" w:fill="FFFFFF"/>
              </w:rPr>
            </w:pPr>
            <w:r w:rsidRPr="00574F1C">
              <w:rPr>
                <w:sz w:val="20"/>
                <w:szCs w:val="20"/>
                <w:shd w:val="clear" w:color="auto" w:fill="FFFFFF"/>
              </w:rPr>
              <w:t>Food service: RTE food is prepared express order – some high-risk food components are raw (P1)</w:t>
            </w:r>
          </w:p>
          <w:p w14:paraId="696F6B79" w14:textId="03D01A8B" w:rsidR="00842F38" w:rsidRPr="00574F1C" w:rsidRDefault="1C8394C5" w:rsidP="00574F1C">
            <w:pPr>
              <w:pStyle w:val="ListParagraph"/>
              <w:numPr>
                <w:ilvl w:val="0"/>
                <w:numId w:val="99"/>
              </w:numPr>
              <w:rPr>
                <w:sz w:val="20"/>
                <w:szCs w:val="20"/>
                <w:shd w:val="clear" w:color="auto" w:fill="FFFFFF"/>
              </w:rPr>
            </w:pPr>
            <w:r w:rsidRPr="00574F1C">
              <w:rPr>
                <w:sz w:val="20"/>
                <w:szCs w:val="20"/>
                <w:shd w:val="clear" w:color="auto" w:fill="FFFFFF"/>
              </w:rPr>
              <w:t>Food service: RTE food is prepared express order – all high-risk food components are cooked Priority 2 (P2)</w:t>
            </w:r>
          </w:p>
          <w:p w14:paraId="7136729A" w14:textId="6BE2CAD5" w:rsidR="00842F38" w:rsidRPr="00574F1C" w:rsidRDefault="00842F38" w:rsidP="00574F1C">
            <w:pPr>
              <w:pStyle w:val="ListParagraph"/>
              <w:numPr>
                <w:ilvl w:val="0"/>
                <w:numId w:val="99"/>
              </w:numPr>
              <w:rPr>
                <w:rFonts w:cs="Arial"/>
                <w:sz w:val="20"/>
                <w:szCs w:val="20"/>
              </w:rPr>
            </w:pPr>
            <w:r w:rsidRPr="00574F1C">
              <w:rPr>
                <w:rFonts w:cs="Arial"/>
                <w:sz w:val="20"/>
                <w:szCs w:val="20"/>
              </w:rPr>
              <w:t>Retailer and manufacturer: bakery products (P1)</w:t>
            </w:r>
          </w:p>
        </w:tc>
      </w:tr>
      <w:tr w:rsidR="00842F38" w:rsidRPr="00EF6E55" w14:paraId="33E22E89" w14:textId="77777777" w:rsidTr="342FFC39">
        <w:trPr>
          <w:trHeight w:val="2729"/>
        </w:trPr>
        <w:tc>
          <w:tcPr>
            <w:tcW w:w="3539" w:type="dxa"/>
          </w:tcPr>
          <w:p w14:paraId="74C1D88D" w14:textId="77777777" w:rsidR="00842F38" w:rsidRPr="00EF6E55" w:rsidRDefault="00842F38" w:rsidP="00787C57">
            <w:pPr>
              <w:rPr>
                <w:b/>
                <w:sz w:val="20"/>
                <w:szCs w:val="20"/>
                <w:u w:val="single"/>
                <w:shd w:val="clear" w:color="auto" w:fill="FFFFFF"/>
              </w:rPr>
            </w:pPr>
            <w:r w:rsidRPr="00EF6E55">
              <w:rPr>
                <w:b/>
                <w:sz w:val="20"/>
                <w:szCs w:val="20"/>
                <w:u w:val="single"/>
                <w:shd w:val="clear" w:color="auto" w:fill="FFFFFF"/>
              </w:rPr>
              <w:t xml:space="preserve">Category 2 </w:t>
            </w:r>
          </w:p>
          <w:p w14:paraId="4B9D8B43" w14:textId="77777777" w:rsidR="00842F38" w:rsidRPr="00EF6E55" w:rsidRDefault="00842F38" w:rsidP="00787C57">
            <w:pPr>
              <w:rPr>
                <w:sz w:val="20"/>
                <w:szCs w:val="20"/>
                <w:shd w:val="clear" w:color="auto" w:fill="FFFFFF"/>
              </w:rPr>
            </w:pPr>
            <w:r w:rsidRPr="00EF6E55">
              <w:rPr>
                <w:sz w:val="20"/>
                <w:szCs w:val="20"/>
                <w:shd w:val="clear" w:color="auto" w:fill="FFFFFF"/>
              </w:rPr>
              <w:t>Those handling activities that</w:t>
            </w:r>
          </w:p>
          <w:p w14:paraId="75F474DC" w14:textId="77777777" w:rsidR="00842F38" w:rsidRPr="00EF6E55" w:rsidRDefault="00842F38" w:rsidP="00614AF5">
            <w:pPr>
              <w:pStyle w:val="ListParagraph"/>
              <w:numPr>
                <w:ilvl w:val="0"/>
                <w:numId w:val="6"/>
              </w:numPr>
              <w:ind w:left="168" w:hanging="142"/>
              <w:rPr>
                <w:sz w:val="20"/>
                <w:szCs w:val="20"/>
                <w:shd w:val="clear" w:color="auto" w:fill="FFFFFF"/>
              </w:rPr>
            </w:pPr>
            <w:r w:rsidRPr="00EF6E55">
              <w:rPr>
                <w:sz w:val="20"/>
                <w:szCs w:val="20"/>
                <w:shd w:val="clear" w:color="auto" w:fill="FFFFFF"/>
              </w:rPr>
              <w:t>require fewer controls critical to the safety of food prepared by the business compared to Category 1 handling activities</w:t>
            </w:r>
            <w:r>
              <w:rPr>
                <w:sz w:val="20"/>
                <w:szCs w:val="20"/>
                <w:shd w:val="clear" w:color="auto" w:fill="FFFFFF"/>
              </w:rPr>
              <w:t>,</w:t>
            </w:r>
            <w:r w:rsidRPr="00EF6E55">
              <w:rPr>
                <w:sz w:val="20"/>
                <w:szCs w:val="20"/>
                <w:shd w:val="clear" w:color="auto" w:fill="FFFFFF"/>
              </w:rPr>
              <w:t xml:space="preserve"> and </w:t>
            </w:r>
          </w:p>
          <w:p w14:paraId="3E340EDD" w14:textId="77777777" w:rsidR="00842F38" w:rsidRPr="00FC252D" w:rsidRDefault="00842F38" w:rsidP="00614AF5">
            <w:pPr>
              <w:pStyle w:val="ListParagraph"/>
              <w:numPr>
                <w:ilvl w:val="0"/>
                <w:numId w:val="6"/>
              </w:numPr>
              <w:ind w:left="168" w:hanging="142"/>
              <w:rPr>
                <w:sz w:val="20"/>
                <w:szCs w:val="20"/>
                <w:shd w:val="clear" w:color="auto" w:fill="FFFFFF"/>
              </w:rPr>
            </w:pPr>
            <w:r w:rsidRPr="00EF6E55">
              <w:rPr>
                <w:sz w:val="20"/>
                <w:szCs w:val="20"/>
                <w:shd w:val="clear" w:color="auto" w:fill="FFFFFF"/>
              </w:rPr>
              <w:t>are most likely to be undertaken by business sectors associated with a relatively lower proportion of Australian foodborne illness outbreaks compared to Category 1.</w:t>
            </w:r>
          </w:p>
        </w:tc>
        <w:tc>
          <w:tcPr>
            <w:tcW w:w="2977" w:type="dxa"/>
          </w:tcPr>
          <w:p w14:paraId="6E2B0056" w14:textId="77777777" w:rsidR="00842F38" w:rsidRPr="00EF6E55" w:rsidRDefault="00842F38" w:rsidP="00787C57">
            <w:pPr>
              <w:rPr>
                <w:rFonts w:cs="Arial"/>
                <w:iCs/>
                <w:sz w:val="20"/>
                <w:szCs w:val="20"/>
                <w:lang w:val="en-AU"/>
              </w:rPr>
            </w:pPr>
            <w:r w:rsidRPr="00EF6E55">
              <w:rPr>
                <w:rFonts w:cs="Arial"/>
                <w:b/>
                <w:iCs/>
                <w:sz w:val="20"/>
                <w:szCs w:val="20"/>
                <w:lang w:val="en-AU"/>
              </w:rPr>
              <w:t>Handling activity 3:</w:t>
            </w:r>
            <w:r>
              <w:rPr>
                <w:rFonts w:cs="Arial"/>
                <w:iCs/>
                <w:sz w:val="20"/>
                <w:szCs w:val="20"/>
                <w:lang w:val="en-AU"/>
              </w:rPr>
              <w:t xml:space="preserve"> serve unpackaged high-</w:t>
            </w:r>
            <w:r w:rsidRPr="00EF6E55">
              <w:rPr>
                <w:rFonts w:cs="Arial"/>
                <w:iCs/>
                <w:sz w:val="20"/>
                <w:szCs w:val="20"/>
                <w:lang w:val="en-AU"/>
              </w:rPr>
              <w:t>risk potentially hazardous food as RTE food for retail.</w:t>
            </w:r>
          </w:p>
          <w:p w14:paraId="02B8CB19" w14:textId="77777777" w:rsidR="00842F38" w:rsidRPr="00EF6E55" w:rsidRDefault="00842F38" w:rsidP="00787C57">
            <w:pPr>
              <w:rPr>
                <w:sz w:val="20"/>
                <w:szCs w:val="20"/>
                <w:shd w:val="clear" w:color="auto" w:fill="FFFFFF"/>
              </w:rPr>
            </w:pPr>
          </w:p>
        </w:tc>
        <w:tc>
          <w:tcPr>
            <w:tcW w:w="3544" w:type="dxa"/>
          </w:tcPr>
          <w:p w14:paraId="06542845" w14:textId="77777777" w:rsidR="00842F38" w:rsidRPr="00574F1C" w:rsidRDefault="00842F38" w:rsidP="00574F1C">
            <w:pPr>
              <w:pStyle w:val="ListParagraph"/>
              <w:numPr>
                <w:ilvl w:val="0"/>
                <w:numId w:val="100"/>
              </w:numPr>
              <w:rPr>
                <w:rFonts w:cs="Arial"/>
                <w:iCs/>
                <w:sz w:val="20"/>
                <w:szCs w:val="20"/>
                <w:lang w:val="en-AU"/>
              </w:rPr>
            </w:pPr>
            <w:r w:rsidRPr="00574F1C">
              <w:rPr>
                <w:rFonts w:cs="Arial"/>
                <w:iCs/>
                <w:sz w:val="20"/>
                <w:szCs w:val="20"/>
                <w:lang w:val="en-AU"/>
              </w:rPr>
              <w:t>Retailer: bakery products (P2)</w:t>
            </w:r>
          </w:p>
          <w:p w14:paraId="65999CA8" w14:textId="77777777" w:rsidR="00842F38" w:rsidRPr="00574F1C" w:rsidRDefault="00842F38" w:rsidP="00574F1C">
            <w:pPr>
              <w:pStyle w:val="ListParagraph"/>
              <w:numPr>
                <w:ilvl w:val="0"/>
                <w:numId w:val="100"/>
              </w:numPr>
              <w:rPr>
                <w:rFonts w:cs="Arial"/>
                <w:iCs/>
                <w:sz w:val="20"/>
                <w:szCs w:val="20"/>
                <w:lang w:val="en-AU"/>
              </w:rPr>
            </w:pPr>
            <w:r w:rsidRPr="00574F1C">
              <w:rPr>
                <w:rFonts w:cs="Arial"/>
                <w:iCs/>
                <w:sz w:val="20"/>
                <w:szCs w:val="20"/>
                <w:lang w:val="en-AU"/>
              </w:rPr>
              <w:t>Retailer: processed delicatessen products (P2)</w:t>
            </w:r>
          </w:p>
          <w:p w14:paraId="511BD5B4" w14:textId="77777777" w:rsidR="00842F38" w:rsidRPr="00574F1C" w:rsidRDefault="00842F38" w:rsidP="00574F1C">
            <w:pPr>
              <w:pStyle w:val="ListParagraph"/>
              <w:numPr>
                <w:ilvl w:val="0"/>
                <w:numId w:val="100"/>
              </w:numPr>
              <w:rPr>
                <w:rFonts w:cs="Arial"/>
                <w:iCs/>
                <w:sz w:val="20"/>
                <w:szCs w:val="20"/>
                <w:lang w:val="en-AU"/>
              </w:rPr>
            </w:pPr>
            <w:r w:rsidRPr="00574F1C">
              <w:rPr>
                <w:rFonts w:cs="Arial"/>
                <w:iCs/>
                <w:sz w:val="20"/>
                <w:szCs w:val="20"/>
                <w:lang w:val="en-AU"/>
              </w:rPr>
              <w:t>Retailer: processed seafood products (P2)</w:t>
            </w:r>
          </w:p>
        </w:tc>
      </w:tr>
      <w:tr w:rsidR="00842F38" w:rsidRPr="00EF6E55" w14:paraId="31755518" w14:textId="77777777" w:rsidTr="342FFC39">
        <w:trPr>
          <w:trHeight w:val="2828"/>
        </w:trPr>
        <w:tc>
          <w:tcPr>
            <w:tcW w:w="3539" w:type="dxa"/>
          </w:tcPr>
          <w:p w14:paraId="072016F0" w14:textId="77777777" w:rsidR="00842F38" w:rsidRPr="00EF6E55" w:rsidRDefault="00842F38" w:rsidP="00787C57">
            <w:pPr>
              <w:rPr>
                <w:b/>
                <w:sz w:val="20"/>
                <w:szCs w:val="20"/>
                <w:u w:val="single"/>
                <w:shd w:val="clear" w:color="auto" w:fill="FFFFFF"/>
              </w:rPr>
            </w:pPr>
            <w:r w:rsidRPr="00EF6E55">
              <w:rPr>
                <w:b/>
                <w:sz w:val="20"/>
                <w:szCs w:val="20"/>
                <w:u w:val="single"/>
                <w:shd w:val="clear" w:color="auto" w:fill="FFFFFF"/>
              </w:rPr>
              <w:lastRenderedPageBreak/>
              <w:t>Category 3</w:t>
            </w:r>
          </w:p>
          <w:p w14:paraId="751CAE81" w14:textId="77777777" w:rsidR="00842F38" w:rsidRPr="00EF6E55" w:rsidRDefault="00842F38" w:rsidP="00787C57">
            <w:pPr>
              <w:rPr>
                <w:sz w:val="20"/>
                <w:szCs w:val="20"/>
                <w:shd w:val="clear" w:color="auto" w:fill="FFFFFF"/>
              </w:rPr>
            </w:pPr>
            <w:r w:rsidRPr="00EF6E55">
              <w:rPr>
                <w:sz w:val="20"/>
                <w:szCs w:val="20"/>
                <w:shd w:val="clear" w:color="auto" w:fill="FFFFFF"/>
              </w:rPr>
              <w:t>Those handling activities that</w:t>
            </w:r>
          </w:p>
          <w:p w14:paraId="685F8957" w14:textId="77777777" w:rsidR="00842F38" w:rsidRPr="00EF6E55" w:rsidRDefault="00842F38" w:rsidP="00614AF5">
            <w:pPr>
              <w:pStyle w:val="ListParagraph"/>
              <w:numPr>
                <w:ilvl w:val="0"/>
                <w:numId w:val="6"/>
              </w:numPr>
              <w:ind w:left="168" w:hanging="142"/>
              <w:rPr>
                <w:sz w:val="20"/>
                <w:szCs w:val="20"/>
                <w:shd w:val="clear" w:color="auto" w:fill="FFFFFF"/>
              </w:rPr>
            </w:pPr>
            <w:r w:rsidRPr="00EF6E55">
              <w:rPr>
                <w:sz w:val="20"/>
                <w:szCs w:val="20"/>
                <w:shd w:val="clear" w:color="auto" w:fill="FFFFFF"/>
              </w:rPr>
              <w:t>require fewer controls critical to the safety of food prepared by the business compared to Category 2 handling activities</w:t>
            </w:r>
            <w:r>
              <w:rPr>
                <w:sz w:val="20"/>
                <w:szCs w:val="20"/>
                <w:shd w:val="clear" w:color="auto" w:fill="FFFFFF"/>
              </w:rPr>
              <w:t>,</w:t>
            </w:r>
            <w:r w:rsidRPr="00EF6E55">
              <w:rPr>
                <w:sz w:val="20"/>
                <w:szCs w:val="20"/>
                <w:shd w:val="clear" w:color="auto" w:fill="FFFFFF"/>
              </w:rPr>
              <w:t xml:space="preserve"> and </w:t>
            </w:r>
          </w:p>
          <w:p w14:paraId="3424BFD3" w14:textId="77777777" w:rsidR="00842F38" w:rsidRPr="00EF6E55" w:rsidRDefault="00842F38" w:rsidP="00614AF5">
            <w:pPr>
              <w:pStyle w:val="ListParagraph"/>
              <w:numPr>
                <w:ilvl w:val="0"/>
                <w:numId w:val="6"/>
              </w:numPr>
              <w:ind w:left="168" w:hanging="142"/>
              <w:rPr>
                <w:sz w:val="20"/>
                <w:szCs w:val="20"/>
                <w:shd w:val="clear" w:color="auto" w:fill="FFFFFF"/>
              </w:rPr>
            </w:pPr>
            <w:r w:rsidRPr="00EF6E55">
              <w:rPr>
                <w:sz w:val="20"/>
                <w:szCs w:val="20"/>
                <w:shd w:val="clear" w:color="auto" w:fill="FFFFFF"/>
              </w:rPr>
              <w:t xml:space="preserve">are most likely to be undertaken by business sectors for which there is little evidence of associated </w:t>
            </w:r>
            <w:r>
              <w:rPr>
                <w:sz w:val="20"/>
                <w:szCs w:val="20"/>
                <w:shd w:val="clear" w:color="auto" w:fill="FFFFFF"/>
              </w:rPr>
              <w:t>foodborne illness in Australia.</w:t>
            </w:r>
          </w:p>
        </w:tc>
        <w:tc>
          <w:tcPr>
            <w:tcW w:w="2977" w:type="dxa"/>
          </w:tcPr>
          <w:p w14:paraId="00DFC6BE" w14:textId="77777777" w:rsidR="00842F38" w:rsidRPr="00EF6E55" w:rsidRDefault="00842F38" w:rsidP="00787C57">
            <w:pPr>
              <w:rPr>
                <w:rFonts w:cs="Arial"/>
                <w:iCs/>
                <w:sz w:val="20"/>
                <w:szCs w:val="20"/>
                <w:lang w:val="en-AU"/>
              </w:rPr>
            </w:pPr>
            <w:r w:rsidRPr="00EF6E55">
              <w:rPr>
                <w:rFonts w:cs="Arial"/>
                <w:b/>
                <w:iCs/>
                <w:sz w:val="20"/>
                <w:szCs w:val="20"/>
                <w:lang w:val="en-AU"/>
              </w:rPr>
              <w:t>Handling activity 4:</w:t>
            </w:r>
            <w:r>
              <w:rPr>
                <w:rFonts w:cs="Arial"/>
                <w:iCs/>
                <w:sz w:val="20"/>
                <w:szCs w:val="20"/>
                <w:lang w:val="en-AU"/>
              </w:rPr>
              <w:t xml:space="preserve"> serve packaged high-</w:t>
            </w:r>
            <w:r w:rsidRPr="00EF6E55">
              <w:rPr>
                <w:rFonts w:cs="Arial"/>
                <w:iCs/>
                <w:sz w:val="20"/>
                <w:szCs w:val="20"/>
                <w:lang w:val="en-AU"/>
              </w:rPr>
              <w:t>risk potentially hazardous food as RTE food</w:t>
            </w:r>
            <w:r>
              <w:rPr>
                <w:rFonts w:cs="Arial"/>
                <w:iCs/>
                <w:sz w:val="20"/>
                <w:szCs w:val="20"/>
                <w:lang w:val="en-AU"/>
              </w:rPr>
              <w:t xml:space="preserve"> for retail</w:t>
            </w:r>
            <w:r w:rsidRPr="00EF6E55">
              <w:rPr>
                <w:rFonts w:cs="Arial"/>
                <w:iCs/>
                <w:sz w:val="20"/>
                <w:szCs w:val="20"/>
                <w:lang w:val="en-AU"/>
              </w:rPr>
              <w:t xml:space="preserve">. The food is packaged prior to receipt by the food business and sold to the consumer </w:t>
            </w:r>
            <w:r>
              <w:rPr>
                <w:rFonts w:cs="Arial"/>
                <w:iCs/>
                <w:sz w:val="20"/>
                <w:szCs w:val="20"/>
                <w:lang w:val="en-AU"/>
              </w:rPr>
              <w:t xml:space="preserve">in its original </w:t>
            </w:r>
            <w:r w:rsidRPr="00EF6E55">
              <w:rPr>
                <w:rFonts w:cs="Arial"/>
                <w:iCs/>
                <w:sz w:val="20"/>
                <w:szCs w:val="20"/>
                <w:lang w:val="en-AU"/>
              </w:rPr>
              <w:t>packag</w:t>
            </w:r>
            <w:r>
              <w:rPr>
                <w:rFonts w:cs="Arial"/>
                <w:iCs/>
                <w:sz w:val="20"/>
                <w:szCs w:val="20"/>
                <w:lang w:val="en-AU"/>
              </w:rPr>
              <w:t>ing</w:t>
            </w:r>
            <w:r w:rsidRPr="00EF6E55">
              <w:rPr>
                <w:rFonts w:cs="Arial"/>
                <w:iCs/>
                <w:sz w:val="20"/>
                <w:szCs w:val="20"/>
                <w:lang w:val="en-AU"/>
              </w:rPr>
              <w:t>.</w:t>
            </w:r>
          </w:p>
        </w:tc>
        <w:tc>
          <w:tcPr>
            <w:tcW w:w="3544" w:type="dxa"/>
          </w:tcPr>
          <w:p w14:paraId="23D80645" w14:textId="77777777" w:rsidR="00842F38" w:rsidRPr="00574F1C" w:rsidRDefault="00842F38" w:rsidP="00574F1C">
            <w:pPr>
              <w:pStyle w:val="ListParagraph"/>
              <w:numPr>
                <w:ilvl w:val="0"/>
                <w:numId w:val="101"/>
              </w:numPr>
              <w:rPr>
                <w:rFonts w:cs="Arial"/>
                <w:iCs/>
                <w:sz w:val="20"/>
                <w:szCs w:val="20"/>
                <w:lang w:val="en-AU"/>
              </w:rPr>
            </w:pPr>
            <w:r w:rsidRPr="00574F1C">
              <w:rPr>
                <w:rFonts w:cs="Arial"/>
                <w:sz w:val="20"/>
                <w:szCs w:val="20"/>
                <w:lang w:val="en-AU"/>
              </w:rPr>
              <w:t>Retailer: High-risk perishable pre-packaged food (P2)</w:t>
            </w:r>
          </w:p>
        </w:tc>
      </w:tr>
    </w:tbl>
    <w:p w14:paraId="5B382D09" w14:textId="148DB28A" w:rsidR="000A382C" w:rsidRPr="004B6C70" w:rsidRDefault="1C8394C5" w:rsidP="000A382C">
      <w:pPr>
        <w:rPr>
          <w:rStyle w:val="normaltextrun"/>
          <w:shd w:val="clear" w:color="auto" w:fill="FFFFFF"/>
        </w:rPr>
      </w:pPr>
      <w:r w:rsidRPr="00EE6137">
        <w:rPr>
          <w:sz w:val="16"/>
          <w:szCs w:val="16"/>
          <w:shd w:val="clear" w:color="auto" w:fill="FFFFFF"/>
        </w:rPr>
        <w:t>*Priority 1 and Priority 2 businesses, respectiv</w:t>
      </w:r>
      <w:r>
        <w:rPr>
          <w:sz w:val="16"/>
          <w:szCs w:val="16"/>
          <w:shd w:val="clear" w:color="auto" w:fill="FFFFFF"/>
        </w:rPr>
        <w:t>ely, as characterised under the Na</w:t>
      </w:r>
      <w:r w:rsidRPr="00EE6137">
        <w:rPr>
          <w:sz w:val="16"/>
          <w:szCs w:val="16"/>
          <w:shd w:val="clear" w:color="auto" w:fill="FFFFFF"/>
        </w:rPr>
        <w:t xml:space="preserve">tional Risk </w:t>
      </w:r>
      <w:r w:rsidR="621E59E4">
        <w:rPr>
          <w:sz w:val="16"/>
          <w:szCs w:val="16"/>
          <w:shd w:val="clear" w:color="auto" w:fill="FFFFFF"/>
        </w:rPr>
        <w:t>P</w:t>
      </w:r>
      <w:r w:rsidRPr="00EE6137">
        <w:rPr>
          <w:sz w:val="16"/>
          <w:szCs w:val="16"/>
          <w:shd w:val="clear" w:color="auto" w:fill="FFFFFF"/>
        </w:rPr>
        <w:t>rofiling Framework by Ross et al 2009.</w:t>
      </w:r>
      <w:r w:rsidRPr="00247057">
        <w:rPr>
          <w:shd w:val="clear" w:color="auto" w:fill="FFFFFF"/>
        </w:rPr>
        <w:t xml:space="preserve"> </w:t>
      </w:r>
      <w:bookmarkStart w:id="63" w:name="_Toc94172652"/>
    </w:p>
    <w:p w14:paraId="3CD66581" w14:textId="6B0AF1F6" w:rsidR="00842F38" w:rsidRDefault="00842F38" w:rsidP="0096592A">
      <w:pPr>
        <w:pStyle w:val="Heading3"/>
      </w:pPr>
      <w:bookmarkStart w:id="64" w:name="_Toc109300413"/>
      <w:r>
        <w:t>Conclusion</w:t>
      </w:r>
      <w:bookmarkEnd w:id="63"/>
      <w:bookmarkEnd w:id="64"/>
    </w:p>
    <w:p w14:paraId="586961C4" w14:textId="6A14F07D" w:rsidR="00B44545" w:rsidRPr="00B44545" w:rsidRDefault="00842F38" w:rsidP="0096592A">
      <w:pPr>
        <w:pStyle w:val="CommentText"/>
        <w:spacing w:after="240"/>
        <w:rPr>
          <w:rFonts w:cs="Arial"/>
          <w:sz w:val="22"/>
          <w:szCs w:val="22"/>
          <w:lang w:bidi="ar-SA"/>
        </w:rPr>
      </w:pPr>
      <w:r w:rsidRPr="4BF32F5B">
        <w:rPr>
          <w:rFonts w:cs="Arial"/>
          <w:sz w:val="22"/>
          <w:szCs w:val="22"/>
          <w:lang w:bidi="ar-SA"/>
        </w:rPr>
        <w:t>FSANZ’s risk profiling confirmed</w:t>
      </w:r>
      <w:r w:rsidR="008E62FD">
        <w:rPr>
          <w:rFonts w:cs="Arial"/>
          <w:sz w:val="22"/>
          <w:szCs w:val="22"/>
          <w:lang w:bidi="ar-SA"/>
        </w:rPr>
        <w:t xml:space="preserve"> a proportion of </w:t>
      </w:r>
      <w:r w:rsidR="007F4673">
        <w:rPr>
          <w:rFonts w:cs="Arial"/>
          <w:sz w:val="22"/>
          <w:szCs w:val="22"/>
          <w:lang w:bidi="ar-SA"/>
        </w:rPr>
        <w:t>reported foodborne illness is linked to</w:t>
      </w:r>
      <w:r w:rsidRPr="4BF32F5B">
        <w:rPr>
          <w:rFonts w:cs="Arial"/>
          <w:sz w:val="22"/>
          <w:szCs w:val="22"/>
          <w:lang w:bidi="ar-SA"/>
        </w:rPr>
        <w:t xml:space="preserve"> the food service and related retail sectors in Australia. Our categorisation of business types and activities indicates different businesses within these sectors carry different risks and can be grouped according to those risks. </w:t>
      </w:r>
    </w:p>
    <w:p w14:paraId="141E1DCA" w14:textId="391411A7" w:rsidR="00B44545" w:rsidRPr="00B44545" w:rsidRDefault="04BAAF68" w:rsidP="0096592A">
      <w:pPr>
        <w:pStyle w:val="CommentText"/>
        <w:spacing w:after="240"/>
        <w:rPr>
          <w:rFonts w:cs="Arial"/>
          <w:sz w:val="22"/>
          <w:szCs w:val="22"/>
          <w:lang w:bidi="ar-SA"/>
        </w:rPr>
      </w:pPr>
      <w:r w:rsidRPr="00B44545">
        <w:rPr>
          <w:rFonts w:cs="Arial"/>
          <w:sz w:val="22"/>
          <w:szCs w:val="22"/>
          <w:lang w:bidi="ar-SA"/>
        </w:rPr>
        <w:t xml:space="preserve">Businesses associated with Category 1 handling activities are considered to be of increased risk. They belong to </w:t>
      </w:r>
      <w:r w:rsidRPr="342FFC39">
        <w:rPr>
          <w:rFonts w:cs="Arial"/>
          <w:sz w:val="22"/>
          <w:szCs w:val="22"/>
          <w:lang w:bidi="ar-SA"/>
        </w:rPr>
        <w:t>business sectors associated with a high proportion of Australian foodborne illness outbreaks</w:t>
      </w:r>
      <w:r w:rsidRPr="00B44545">
        <w:rPr>
          <w:rFonts w:cs="Arial"/>
          <w:sz w:val="22"/>
          <w:szCs w:val="22"/>
          <w:lang w:bidi="ar-SA"/>
        </w:rPr>
        <w:t xml:space="preserve"> and require the greatest number of controls critical to the safety of food prepared by the business. </w:t>
      </w:r>
    </w:p>
    <w:p w14:paraId="23B85436" w14:textId="4572C55A" w:rsidR="00B44545" w:rsidRPr="00B44545" w:rsidRDefault="00B44545" w:rsidP="0096592A">
      <w:pPr>
        <w:pStyle w:val="CommentText"/>
        <w:spacing w:after="240"/>
        <w:rPr>
          <w:rFonts w:cs="Arial"/>
          <w:sz w:val="22"/>
          <w:szCs w:val="22"/>
          <w:lang w:bidi="ar-SA"/>
        </w:rPr>
      </w:pPr>
      <w:r w:rsidRPr="00B44545">
        <w:rPr>
          <w:rFonts w:cs="Arial"/>
          <w:sz w:val="22"/>
          <w:szCs w:val="22"/>
          <w:lang w:bidi="ar-SA"/>
        </w:rPr>
        <w:t>Category 2 handling activities require fewer controls critical to the safety of food prepared by the business and are associated with a relatively lower proportion of Australian foodborne illness outbreaks, compared to Category 1.</w:t>
      </w:r>
    </w:p>
    <w:p w14:paraId="7DB02A4B" w14:textId="5A8BE655" w:rsidR="00842F38" w:rsidRPr="00B44545" w:rsidRDefault="00842F38" w:rsidP="0096592A">
      <w:pPr>
        <w:spacing w:after="240"/>
        <w:rPr>
          <w:rFonts w:cs="Arial"/>
          <w:szCs w:val="22"/>
          <w:lang w:bidi="ar-SA"/>
        </w:rPr>
      </w:pPr>
      <w:r w:rsidRPr="00B44545">
        <w:rPr>
          <w:rFonts w:cs="Arial"/>
          <w:szCs w:val="22"/>
          <w:lang w:bidi="ar-SA"/>
        </w:rPr>
        <w:t xml:space="preserve">Our findings enable interventions to be targeted to the most common causal factors of foodborne illness outbreaks, and in a risk-proportionate manner. Such an approach to managing risks ensures additional measures are appropriate for the potential risk posed by each business type. </w:t>
      </w:r>
    </w:p>
    <w:p w14:paraId="01E39917" w14:textId="11A1B5AA" w:rsidR="002C1A3B" w:rsidRPr="00932F14" w:rsidRDefault="002C1A3B" w:rsidP="0096592A">
      <w:pPr>
        <w:pStyle w:val="Heading2"/>
      </w:pPr>
      <w:bookmarkStart w:id="65" w:name="_Toc109300414"/>
      <w:r>
        <w:t>Risk management</w:t>
      </w:r>
      <w:bookmarkEnd w:id="53"/>
      <w:bookmarkEnd w:id="54"/>
      <w:bookmarkEnd w:id="65"/>
      <w:r w:rsidR="00842F38">
        <w:t xml:space="preserve"> </w:t>
      </w:r>
    </w:p>
    <w:p w14:paraId="1FCFF158" w14:textId="569CEE0E" w:rsidR="00842F38" w:rsidRPr="00B31E62" w:rsidRDefault="00842F38" w:rsidP="0096592A">
      <w:pPr>
        <w:spacing w:before="120" w:after="240"/>
        <w:rPr>
          <w:rFonts w:cs="Arial"/>
          <w:szCs w:val="22"/>
        </w:rPr>
      </w:pPr>
      <w:bookmarkStart w:id="66" w:name="_Toc309291814"/>
      <w:bookmarkStart w:id="67" w:name="_Toc370225389"/>
      <w:bookmarkStart w:id="68" w:name="_Toc286391012"/>
      <w:bookmarkEnd w:id="55"/>
      <w:r w:rsidRPr="00A646B7">
        <w:rPr>
          <w:lang w:bidi="ar-SA"/>
        </w:rPr>
        <w:t xml:space="preserve">FSANZ’s general principles and </w:t>
      </w:r>
      <w:r w:rsidR="005E6A98">
        <w:rPr>
          <w:lang w:bidi="ar-SA"/>
        </w:rPr>
        <w:t xml:space="preserve">the </w:t>
      </w:r>
      <w:r w:rsidRPr="00A646B7">
        <w:rPr>
          <w:lang w:bidi="ar-SA"/>
        </w:rPr>
        <w:t xml:space="preserve">process </w:t>
      </w:r>
      <w:r w:rsidR="005E6A98">
        <w:rPr>
          <w:lang w:bidi="ar-SA"/>
        </w:rPr>
        <w:t xml:space="preserve">we used to guide </w:t>
      </w:r>
      <w:r w:rsidRPr="00A646B7">
        <w:rPr>
          <w:lang w:bidi="ar-SA"/>
        </w:rPr>
        <w:t xml:space="preserve">our risk management decisions </w:t>
      </w:r>
      <w:r>
        <w:rPr>
          <w:lang w:bidi="ar-SA"/>
        </w:rPr>
        <w:t xml:space="preserve">in P1053 </w:t>
      </w:r>
      <w:r w:rsidRPr="00A646B7">
        <w:rPr>
          <w:lang w:bidi="ar-SA"/>
        </w:rPr>
        <w:t xml:space="preserve">are </w:t>
      </w:r>
      <w:r w:rsidR="005E6A98">
        <w:rPr>
          <w:lang w:bidi="ar-SA"/>
        </w:rPr>
        <w:t>described</w:t>
      </w:r>
      <w:r w:rsidR="005E6A98" w:rsidRPr="00A646B7">
        <w:rPr>
          <w:lang w:bidi="ar-SA"/>
        </w:rPr>
        <w:t xml:space="preserve"> </w:t>
      </w:r>
      <w:r w:rsidRPr="00A646B7">
        <w:rPr>
          <w:lang w:bidi="ar-SA"/>
        </w:rPr>
        <w:t xml:space="preserve">below. </w:t>
      </w:r>
      <w:r w:rsidR="005E6A98">
        <w:rPr>
          <w:rFonts w:cs="Arial"/>
          <w:szCs w:val="22"/>
        </w:rPr>
        <w:t>Our assessment considered the expected impacts (positive, negative, direct, indirect) of three options. The</w:t>
      </w:r>
      <w:r w:rsidR="005E6A98" w:rsidRPr="00617DE4">
        <w:rPr>
          <w:rFonts w:cs="Arial"/>
          <w:szCs w:val="22"/>
        </w:rPr>
        <w:t xml:space="preserve"> full assessment of options is in the </w:t>
      </w:r>
      <w:r w:rsidR="005E6A98">
        <w:rPr>
          <w:rFonts w:cs="Arial"/>
          <w:szCs w:val="22"/>
        </w:rPr>
        <w:t>D</w:t>
      </w:r>
      <w:r w:rsidR="005E6A98" w:rsidRPr="00FC252D">
        <w:rPr>
          <w:rFonts w:cs="Arial"/>
          <w:szCs w:val="22"/>
        </w:rPr>
        <w:t xml:space="preserve">RIS </w:t>
      </w:r>
      <w:r w:rsidR="005E6A98" w:rsidRPr="004B6C70">
        <w:rPr>
          <w:rFonts w:cs="Arial"/>
          <w:szCs w:val="22"/>
        </w:rPr>
        <w:t>(</w:t>
      </w:r>
      <w:hyperlink w:anchor="_Attachment_C_–" w:history="1">
        <w:r w:rsidR="005E6A98" w:rsidRPr="006B11F0">
          <w:rPr>
            <w:rStyle w:val="Hyperlink"/>
            <w:rFonts w:cs="Arial"/>
            <w:szCs w:val="22"/>
          </w:rPr>
          <w:t>Attachment C</w:t>
        </w:r>
      </w:hyperlink>
      <w:r w:rsidR="005E6A98" w:rsidRPr="004B6C70">
        <w:rPr>
          <w:rFonts w:cs="Arial"/>
          <w:szCs w:val="22"/>
        </w:rPr>
        <w:t>).</w:t>
      </w:r>
    </w:p>
    <w:p w14:paraId="076A6EA6" w14:textId="77777777" w:rsidR="00842F38" w:rsidRDefault="00842F38" w:rsidP="0096592A">
      <w:pPr>
        <w:pStyle w:val="Heading3"/>
      </w:pPr>
      <w:bookmarkStart w:id="69" w:name="_Toc94172654"/>
      <w:bookmarkStart w:id="70" w:name="_Toc109300415"/>
      <w:r>
        <w:t>Principles</w:t>
      </w:r>
      <w:bookmarkEnd w:id="69"/>
      <w:bookmarkEnd w:id="70"/>
    </w:p>
    <w:p w14:paraId="17F76125" w14:textId="40ACCB90" w:rsidR="000A382C" w:rsidRDefault="00842F38" w:rsidP="0096592A">
      <w:pPr>
        <w:spacing w:after="240"/>
      </w:pPr>
      <w:r>
        <w:t xml:space="preserve">FSANZ established a risk management framework based on three main principles to guide our risk management approach. These principles reflect FSANZ’s priority objective of addressing the risk to public health and safety in Australia. They also reflect stakeholder comments on the need for a national approach to safe food production in the food service and related retail sectors, with minimal burden on industry. </w:t>
      </w:r>
    </w:p>
    <w:p w14:paraId="59E8F8F6" w14:textId="523E2FF8" w:rsidR="00842F38" w:rsidRPr="00AC6958" w:rsidRDefault="1C8394C5" w:rsidP="342FFC39">
      <w:pPr>
        <w:pStyle w:val="Caption"/>
        <w:keepNext/>
        <w:rPr>
          <w:b/>
          <w:bCs/>
          <w:color w:val="auto"/>
          <w:sz w:val="20"/>
          <w:szCs w:val="20"/>
        </w:rPr>
      </w:pPr>
      <w:r w:rsidRPr="342FFC39">
        <w:rPr>
          <w:b/>
          <w:bCs/>
          <w:color w:val="auto"/>
          <w:sz w:val="20"/>
          <w:szCs w:val="20"/>
        </w:rPr>
        <w:t xml:space="preserve">Table </w:t>
      </w:r>
      <w:r w:rsidR="006707EC">
        <w:rPr>
          <w:b/>
          <w:bCs/>
          <w:color w:val="auto"/>
          <w:sz w:val="20"/>
          <w:szCs w:val="20"/>
        </w:rPr>
        <w:t>2</w:t>
      </w:r>
      <w:r w:rsidRPr="342FFC39">
        <w:rPr>
          <w:b/>
          <w:bCs/>
          <w:color w:val="auto"/>
          <w:sz w:val="20"/>
          <w:szCs w:val="20"/>
        </w:rPr>
        <w:t>: FSANZ risk management principles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7350"/>
      </w:tblGrid>
      <w:tr w:rsidR="00842F38" w:rsidRPr="00010A1A" w14:paraId="19DC9FAD" w14:textId="77777777" w:rsidTr="006707EC">
        <w:tc>
          <w:tcPr>
            <w:tcW w:w="2143" w:type="dxa"/>
            <w:shd w:val="clear" w:color="auto" w:fill="D9D9D9" w:themeFill="background1" w:themeFillShade="D9"/>
          </w:tcPr>
          <w:p w14:paraId="59A3C8E9" w14:textId="77777777" w:rsidR="00842F38" w:rsidRPr="00844B2B" w:rsidRDefault="00842F38" w:rsidP="00787C57">
            <w:pPr>
              <w:rPr>
                <w:b/>
                <w:sz w:val="20"/>
                <w:lang w:eastAsia="en-AU" w:bidi="ar-SA"/>
              </w:rPr>
            </w:pPr>
            <w:r w:rsidRPr="00844B2B">
              <w:rPr>
                <w:b/>
                <w:sz w:val="20"/>
                <w:lang w:eastAsia="en-AU" w:bidi="ar-SA"/>
              </w:rPr>
              <w:t>Principle</w:t>
            </w:r>
          </w:p>
        </w:tc>
        <w:tc>
          <w:tcPr>
            <w:tcW w:w="7350" w:type="dxa"/>
            <w:shd w:val="clear" w:color="auto" w:fill="D9D9D9" w:themeFill="background1" w:themeFillShade="D9"/>
          </w:tcPr>
          <w:p w14:paraId="7B5F80C9" w14:textId="59326460" w:rsidR="00842F38" w:rsidRPr="00844B2B" w:rsidRDefault="005E6A98" w:rsidP="00787C57">
            <w:pPr>
              <w:rPr>
                <w:b/>
                <w:sz w:val="20"/>
                <w:lang w:eastAsia="en-AU" w:bidi="ar-SA"/>
              </w:rPr>
            </w:pPr>
            <w:r>
              <w:rPr>
                <w:b/>
                <w:sz w:val="20"/>
                <w:lang w:eastAsia="en-AU" w:bidi="ar-SA"/>
              </w:rPr>
              <w:t>Intended o</w:t>
            </w:r>
            <w:r w:rsidR="00842F38" w:rsidRPr="00844B2B">
              <w:rPr>
                <w:b/>
                <w:sz w:val="20"/>
                <w:lang w:eastAsia="en-AU" w:bidi="ar-SA"/>
              </w:rPr>
              <w:t>utcome</w:t>
            </w:r>
          </w:p>
        </w:tc>
      </w:tr>
      <w:tr w:rsidR="00842F38" w:rsidRPr="00010A1A" w14:paraId="083397A7" w14:textId="77777777" w:rsidTr="006707EC">
        <w:tc>
          <w:tcPr>
            <w:tcW w:w="2143" w:type="dxa"/>
          </w:tcPr>
          <w:p w14:paraId="3FE65EAE" w14:textId="77777777" w:rsidR="00842F38" w:rsidRPr="00844B2B" w:rsidRDefault="00842F38" w:rsidP="00787C57">
            <w:pPr>
              <w:rPr>
                <w:sz w:val="20"/>
                <w:lang w:eastAsia="en-AU" w:bidi="ar-SA"/>
              </w:rPr>
            </w:pPr>
            <w:r w:rsidRPr="00844B2B">
              <w:rPr>
                <w:sz w:val="20"/>
                <w:lang w:eastAsia="en-AU" w:bidi="ar-SA"/>
              </w:rPr>
              <w:t xml:space="preserve">Protection of public </w:t>
            </w:r>
            <w:r w:rsidRPr="00844B2B">
              <w:rPr>
                <w:sz w:val="20"/>
                <w:lang w:eastAsia="en-AU" w:bidi="ar-SA"/>
              </w:rPr>
              <w:lastRenderedPageBreak/>
              <w:t>health and safety</w:t>
            </w:r>
          </w:p>
        </w:tc>
        <w:tc>
          <w:tcPr>
            <w:tcW w:w="7350" w:type="dxa"/>
          </w:tcPr>
          <w:p w14:paraId="03CB00D9" w14:textId="77777777" w:rsidR="00842F38" w:rsidRPr="00844B2B" w:rsidRDefault="00842F38" w:rsidP="00787C57">
            <w:pPr>
              <w:rPr>
                <w:sz w:val="20"/>
                <w:lang w:eastAsia="en-AU" w:bidi="ar-SA"/>
              </w:rPr>
            </w:pPr>
            <w:r w:rsidRPr="00844B2B">
              <w:rPr>
                <w:sz w:val="20"/>
                <w:lang w:eastAsia="en-AU" w:bidi="ar-SA"/>
              </w:rPr>
              <w:lastRenderedPageBreak/>
              <w:t>Reduction in foodborne illnesses attributed to food service/ retail sectors.</w:t>
            </w:r>
          </w:p>
          <w:p w14:paraId="1DEC2AD3" w14:textId="77777777" w:rsidR="00842F38" w:rsidRPr="00844B2B" w:rsidRDefault="00842F38" w:rsidP="00787C57">
            <w:pPr>
              <w:rPr>
                <w:sz w:val="20"/>
                <w:lang w:eastAsia="en-AU" w:bidi="ar-SA"/>
              </w:rPr>
            </w:pPr>
            <w:r w:rsidRPr="00844B2B">
              <w:rPr>
                <w:sz w:val="20"/>
                <w:lang w:eastAsia="en-AU" w:bidi="ar-SA"/>
              </w:rPr>
              <w:lastRenderedPageBreak/>
              <w:t>Improved skills and knowledge and presence of a certified FSS will improve food safety awareness and practices, reducing cases of foodborne illness.</w:t>
            </w:r>
          </w:p>
        </w:tc>
      </w:tr>
      <w:tr w:rsidR="00842F38" w:rsidRPr="00010A1A" w14:paraId="091EA1C7" w14:textId="77777777" w:rsidTr="006707EC">
        <w:tc>
          <w:tcPr>
            <w:tcW w:w="2143" w:type="dxa"/>
          </w:tcPr>
          <w:p w14:paraId="3E4DA195" w14:textId="77777777" w:rsidR="00842F38" w:rsidRPr="00844B2B" w:rsidRDefault="00842F38" w:rsidP="00787C57">
            <w:pPr>
              <w:rPr>
                <w:sz w:val="20"/>
                <w:lang w:eastAsia="en-AU" w:bidi="ar-SA"/>
              </w:rPr>
            </w:pPr>
            <w:r w:rsidRPr="00844B2B">
              <w:rPr>
                <w:sz w:val="20"/>
                <w:lang w:eastAsia="en-AU" w:bidi="ar-SA"/>
              </w:rPr>
              <w:lastRenderedPageBreak/>
              <w:t>Cost-effective, risk-proportionate measures</w:t>
            </w:r>
          </w:p>
        </w:tc>
        <w:tc>
          <w:tcPr>
            <w:tcW w:w="7350" w:type="dxa"/>
          </w:tcPr>
          <w:p w14:paraId="433CA8A5" w14:textId="77777777" w:rsidR="00842F38" w:rsidRPr="00844B2B" w:rsidRDefault="00842F38" w:rsidP="00787C57">
            <w:pPr>
              <w:rPr>
                <w:sz w:val="20"/>
                <w:lang w:eastAsia="en-AU" w:bidi="ar-SA"/>
              </w:rPr>
            </w:pPr>
            <w:r w:rsidRPr="00844B2B">
              <w:rPr>
                <w:sz w:val="20"/>
                <w:lang w:eastAsia="en-AU" w:bidi="ar-SA"/>
              </w:rPr>
              <w:t>Regulatory measures are applied proportionate to identified risks. Those businesses with higher risks have more stringent requirements and more tools to manage their risks.</w:t>
            </w:r>
          </w:p>
        </w:tc>
      </w:tr>
      <w:tr w:rsidR="00842F38" w:rsidRPr="00010A1A" w14:paraId="01445F92" w14:textId="77777777" w:rsidTr="006707EC">
        <w:tc>
          <w:tcPr>
            <w:tcW w:w="2143" w:type="dxa"/>
          </w:tcPr>
          <w:p w14:paraId="77310EFB" w14:textId="77777777" w:rsidR="00842F38" w:rsidRPr="00844B2B" w:rsidRDefault="00842F38" w:rsidP="00787C57">
            <w:pPr>
              <w:rPr>
                <w:sz w:val="20"/>
                <w:lang w:eastAsia="en-AU" w:bidi="ar-SA"/>
              </w:rPr>
            </w:pPr>
            <w:r w:rsidRPr="00844B2B">
              <w:rPr>
                <w:sz w:val="20"/>
                <w:lang w:eastAsia="en-AU" w:bidi="ar-SA"/>
              </w:rPr>
              <w:t>Consistency</w:t>
            </w:r>
          </w:p>
        </w:tc>
        <w:tc>
          <w:tcPr>
            <w:tcW w:w="7350" w:type="dxa"/>
          </w:tcPr>
          <w:p w14:paraId="30189C29" w14:textId="25DA92B7" w:rsidR="00842F38" w:rsidRPr="00844B2B" w:rsidRDefault="00842F38" w:rsidP="00787C57">
            <w:pPr>
              <w:rPr>
                <w:sz w:val="20"/>
                <w:lang w:eastAsia="en-AU" w:bidi="ar-SA"/>
              </w:rPr>
            </w:pPr>
            <w:r w:rsidRPr="00844B2B">
              <w:rPr>
                <w:sz w:val="20"/>
                <w:lang w:eastAsia="en-AU" w:bidi="ar-SA"/>
              </w:rPr>
              <w:t>Businesses meet a minimum base level of food safety training</w:t>
            </w:r>
            <w:r w:rsidR="00AC6958">
              <w:rPr>
                <w:sz w:val="20"/>
                <w:lang w:eastAsia="en-AU" w:bidi="ar-SA"/>
              </w:rPr>
              <w:t xml:space="preserve"> and supervision</w:t>
            </w:r>
            <w:r w:rsidRPr="00844B2B">
              <w:rPr>
                <w:sz w:val="20"/>
                <w:lang w:eastAsia="en-AU" w:bidi="ar-SA"/>
              </w:rPr>
              <w:t xml:space="preserve">. </w:t>
            </w:r>
          </w:p>
          <w:p w14:paraId="3B2B96CE" w14:textId="77777777" w:rsidR="00842F38" w:rsidRPr="00844B2B" w:rsidRDefault="00842F38" w:rsidP="00787C57">
            <w:pPr>
              <w:rPr>
                <w:sz w:val="20"/>
                <w:lang w:eastAsia="en-AU" w:bidi="ar-SA"/>
              </w:rPr>
            </w:pPr>
            <w:r w:rsidRPr="00844B2B">
              <w:rPr>
                <w:sz w:val="20"/>
                <w:lang w:eastAsia="en-AU" w:bidi="ar-SA"/>
              </w:rPr>
              <w:t>Provides common accountability framework based on scientific risk.</w:t>
            </w:r>
          </w:p>
          <w:p w14:paraId="1245225F" w14:textId="77777777" w:rsidR="00842F38" w:rsidRPr="00844B2B" w:rsidRDefault="00842F38" w:rsidP="00787C57">
            <w:pPr>
              <w:rPr>
                <w:sz w:val="20"/>
                <w:lang w:eastAsia="en-AU" w:bidi="ar-SA"/>
              </w:rPr>
            </w:pPr>
            <w:r w:rsidRPr="00844B2B">
              <w:rPr>
                <w:sz w:val="20"/>
                <w:lang w:eastAsia="en-AU" w:bidi="ar-SA"/>
              </w:rPr>
              <w:t>Allows for</w:t>
            </w:r>
            <w:r w:rsidRPr="00844B2B" w:rsidDel="0042759F">
              <w:rPr>
                <w:sz w:val="20"/>
                <w:lang w:eastAsia="en-AU" w:bidi="ar-SA"/>
              </w:rPr>
              <w:t xml:space="preserve"> consistent i</w:t>
            </w:r>
            <w:r w:rsidRPr="00844B2B">
              <w:rPr>
                <w:sz w:val="20"/>
                <w:lang w:eastAsia="en-AU" w:bidi="ar-SA"/>
              </w:rPr>
              <w:t>mplementation of national requirements.</w:t>
            </w:r>
          </w:p>
        </w:tc>
      </w:tr>
    </w:tbl>
    <w:p w14:paraId="37131B56" w14:textId="77777777" w:rsidR="00842F38" w:rsidRDefault="00842F38" w:rsidP="00842F38">
      <w:pPr>
        <w:rPr>
          <w:rFonts w:eastAsia="SimSun"/>
          <w:szCs w:val="22"/>
          <w:lang w:eastAsia="zh-CN"/>
        </w:rPr>
      </w:pPr>
    </w:p>
    <w:p w14:paraId="730C8E07" w14:textId="7852BB10" w:rsidR="00842F38" w:rsidRPr="00AA3759" w:rsidRDefault="00842F38" w:rsidP="0096592A">
      <w:pPr>
        <w:spacing w:after="240"/>
        <w:rPr>
          <w:szCs w:val="22"/>
        </w:rPr>
      </w:pPr>
      <w:r w:rsidRPr="3C0957AF">
        <w:rPr>
          <w:rFonts w:eastAsia="SimSun"/>
          <w:lang w:eastAsia="zh-CN"/>
        </w:rPr>
        <w:t>FSANZ</w:t>
      </w:r>
      <w:r w:rsidR="00010A1A" w:rsidRPr="3C0957AF">
        <w:rPr>
          <w:rFonts w:eastAsia="SimSun"/>
          <w:lang w:eastAsia="zh-CN"/>
        </w:rPr>
        <w:t xml:space="preserve"> also</w:t>
      </w:r>
      <w:r w:rsidRPr="3C0957AF">
        <w:rPr>
          <w:rFonts w:eastAsia="SimSun"/>
          <w:lang w:eastAsia="zh-CN"/>
        </w:rPr>
        <w:t xml:space="preserve"> gave regard to the food regulatory system principles for good regulation</w:t>
      </w:r>
      <w:r w:rsidRPr="3C0957AF">
        <w:rPr>
          <w:rStyle w:val="FootnoteReference"/>
          <w:rFonts w:eastAsia="SimSun"/>
          <w:lang w:eastAsia="zh-CN"/>
        </w:rPr>
        <w:footnoteReference w:id="6"/>
      </w:r>
      <w:r w:rsidR="00B31E62" w:rsidRPr="3C0957AF">
        <w:rPr>
          <w:rFonts w:eastAsia="SimSun"/>
          <w:lang w:eastAsia="zh-CN"/>
        </w:rPr>
        <w:t xml:space="preserve"> to</w:t>
      </w:r>
      <w:r w:rsidRPr="00AA3759">
        <w:rPr>
          <w:szCs w:val="22"/>
        </w:rPr>
        <w:t>:</w:t>
      </w:r>
    </w:p>
    <w:p w14:paraId="27DBE6E9" w14:textId="77777777" w:rsidR="0096592A" w:rsidRDefault="00842F38" w:rsidP="00614AF5">
      <w:pPr>
        <w:pStyle w:val="FSBullet1"/>
        <w:numPr>
          <w:ilvl w:val="0"/>
          <w:numId w:val="64"/>
        </w:numPr>
      </w:pPr>
      <w:r w:rsidRPr="00AA3759">
        <w:t xml:space="preserve">be efficient </w:t>
      </w:r>
      <w:r w:rsidR="00010A1A">
        <w:t xml:space="preserve">and effective </w:t>
      </w:r>
      <w:r w:rsidRPr="00AA3759">
        <w:t>in our use of regulation</w:t>
      </w:r>
    </w:p>
    <w:p w14:paraId="1139C95E" w14:textId="0E608506" w:rsidR="00842F38" w:rsidRPr="00AA3759" w:rsidRDefault="00842F38" w:rsidP="00614AF5">
      <w:pPr>
        <w:pStyle w:val="FSBullet1"/>
        <w:numPr>
          <w:ilvl w:val="0"/>
          <w:numId w:val="64"/>
        </w:numPr>
      </w:pPr>
      <w:r w:rsidRPr="00AA3759">
        <w:t>be transparent in our regulation making process</w:t>
      </w:r>
    </w:p>
    <w:p w14:paraId="70EEDA89" w14:textId="77777777" w:rsidR="00842F38" w:rsidRDefault="00842F38" w:rsidP="00614AF5">
      <w:pPr>
        <w:pStyle w:val="FSBullet1"/>
        <w:numPr>
          <w:ilvl w:val="0"/>
          <w:numId w:val="64"/>
        </w:numPr>
      </w:pPr>
      <w:r w:rsidRPr="00AA3759">
        <w:t>have regulatory processes and requirements that are as clear, understandable and accessible as possible</w:t>
      </w:r>
    </w:p>
    <w:p w14:paraId="5CA71B82" w14:textId="255DB75B" w:rsidR="00842F38" w:rsidRDefault="00842F38" w:rsidP="00614AF5">
      <w:pPr>
        <w:pStyle w:val="FSBullet1"/>
        <w:numPr>
          <w:ilvl w:val="0"/>
          <w:numId w:val="64"/>
        </w:numPr>
        <w:spacing w:after="240"/>
      </w:pPr>
      <w:r w:rsidRPr="00AA3759">
        <w:t>be equitable.</w:t>
      </w:r>
    </w:p>
    <w:p w14:paraId="491D515F" w14:textId="77777777" w:rsidR="00DC2B75" w:rsidRDefault="5E3EAA62" w:rsidP="0096592A">
      <w:pPr>
        <w:pStyle w:val="Heading3"/>
      </w:pPr>
      <w:bookmarkStart w:id="71" w:name="_Toc94172655"/>
      <w:bookmarkStart w:id="72" w:name="_Toc109300416"/>
      <w:bookmarkStart w:id="73" w:name="_Toc94172659"/>
      <w:r>
        <w:t>Food safety management tools</w:t>
      </w:r>
      <w:bookmarkEnd w:id="71"/>
      <w:r>
        <w:t xml:space="preserve"> assessed</w:t>
      </w:r>
      <w:bookmarkEnd w:id="72"/>
    </w:p>
    <w:p w14:paraId="04C7883A" w14:textId="37989F07" w:rsidR="00DC2B75" w:rsidRDefault="00DC2B75" w:rsidP="0096592A">
      <w:pPr>
        <w:spacing w:after="240"/>
        <w:rPr>
          <w:color w:val="000000"/>
        </w:rPr>
      </w:pPr>
      <w:r>
        <w:rPr>
          <w:color w:val="000000"/>
        </w:rPr>
        <w:t>The three food safety management tools</w:t>
      </w:r>
      <w:r w:rsidDel="00C34A8A">
        <w:rPr>
          <w:color w:val="000000"/>
        </w:rPr>
        <w:t xml:space="preserve"> </w:t>
      </w:r>
      <w:r>
        <w:rPr>
          <w:color w:val="000000"/>
        </w:rPr>
        <w:t>FSANZ was requested to assess are:</w:t>
      </w:r>
    </w:p>
    <w:p w14:paraId="75C1BCF5" w14:textId="0C894665" w:rsidR="00DC2B75" w:rsidRDefault="00DC2B75" w:rsidP="00614AF5">
      <w:pPr>
        <w:pStyle w:val="ListParagraph"/>
        <w:numPr>
          <w:ilvl w:val="0"/>
          <w:numId w:val="65"/>
        </w:numPr>
      </w:pPr>
      <w:r>
        <w:t xml:space="preserve">a certified food safety supervisor </w:t>
      </w:r>
    </w:p>
    <w:p w14:paraId="247B036F" w14:textId="30D1655B" w:rsidR="00DC2B75" w:rsidRDefault="00DC2B75" w:rsidP="00614AF5">
      <w:pPr>
        <w:pStyle w:val="ListParagraph"/>
        <w:numPr>
          <w:ilvl w:val="0"/>
          <w:numId w:val="65"/>
        </w:numPr>
      </w:pPr>
      <w:r w:rsidRPr="00E43172">
        <w:t>food handler training</w:t>
      </w:r>
      <w:r>
        <w:t xml:space="preserve"> </w:t>
      </w:r>
    </w:p>
    <w:p w14:paraId="1E3F79B1" w14:textId="5A79729A" w:rsidR="00DC2B75" w:rsidRPr="002E7A54" w:rsidRDefault="00DC2B75" w:rsidP="00614AF5">
      <w:pPr>
        <w:pStyle w:val="ListParagraph"/>
        <w:numPr>
          <w:ilvl w:val="0"/>
          <w:numId w:val="65"/>
        </w:numPr>
        <w:spacing w:after="240"/>
        <w:rPr>
          <w:lang w:val="en-US"/>
        </w:rPr>
      </w:pPr>
      <w:r>
        <w:t>evidence to substantiate food safety management.</w:t>
      </w:r>
      <w:r w:rsidRPr="002E7A54">
        <w:rPr>
          <w:lang w:val="en-US"/>
        </w:rPr>
        <w:t xml:space="preserve"> </w:t>
      </w:r>
    </w:p>
    <w:p w14:paraId="2E367807" w14:textId="1584B001" w:rsidR="00DC2B75" w:rsidRDefault="00DC2B75" w:rsidP="0096592A">
      <w:pPr>
        <w:spacing w:after="240"/>
      </w:pPr>
      <w:r>
        <w:t xml:space="preserve">We examined documented impacts on businesses where these types of tools, or similar, have already been introduced. We assessed the gap between the proposed tools and existing national arrangements (i.e. those in the Code) and those that are state or territory specific. </w:t>
      </w:r>
    </w:p>
    <w:p w14:paraId="6F3747CD" w14:textId="77777777" w:rsidR="0096592A" w:rsidRDefault="4D6C38EE" w:rsidP="0096592A">
      <w:pPr>
        <w:pStyle w:val="FSBullet1"/>
        <w:numPr>
          <w:ilvl w:val="0"/>
          <w:numId w:val="0"/>
        </w:numPr>
        <w:spacing w:after="240"/>
      </w:pPr>
      <w:r>
        <w:t xml:space="preserve">We also considered international approaches </w:t>
      </w:r>
      <w:r w:rsidRPr="342FFC39">
        <w:rPr>
          <w:lang w:val="en-US"/>
        </w:rPr>
        <w:t xml:space="preserve">to food safety management, which focus on preventing food safety issues. </w:t>
      </w:r>
      <w:r>
        <w:t xml:space="preserve">International guidance under Codex recognises that some food handling activities (such as temperature control, cleaning and sanitising) require enhanced attention above good hygiene practices. </w:t>
      </w:r>
    </w:p>
    <w:p w14:paraId="3CE032B5" w14:textId="48EFA913" w:rsidR="00DC2B75" w:rsidRDefault="00DC2B75" w:rsidP="0096592A">
      <w:pPr>
        <w:pStyle w:val="FSBullet1"/>
        <w:numPr>
          <w:ilvl w:val="0"/>
          <w:numId w:val="0"/>
        </w:numPr>
        <w:spacing w:after="240"/>
      </w:pPr>
      <w:r>
        <w:t>Our assessment of the capacity of each tool to mitigate the key contributors</w:t>
      </w:r>
      <w:r w:rsidR="00AC6958">
        <w:t xml:space="preserve"> (section 2.2.2 of this report)</w:t>
      </w:r>
      <w:r>
        <w:t xml:space="preserve"> to foodborne illness is outlined below and detailed </w:t>
      </w:r>
      <w:r w:rsidRPr="00FC252D">
        <w:t>in</w:t>
      </w:r>
      <w:r>
        <w:t xml:space="preserve"> our DR</w:t>
      </w:r>
      <w:r w:rsidRPr="004B6C70">
        <w:t>IS (</w:t>
      </w:r>
      <w:hyperlink w:anchor="_Attachment_C_–" w:history="1">
        <w:r w:rsidRPr="006B11F0">
          <w:rPr>
            <w:rStyle w:val="Hyperlink"/>
          </w:rPr>
          <w:t>Attachment C</w:t>
        </w:r>
      </w:hyperlink>
      <w:r w:rsidRPr="004B6C70">
        <w:t>).</w:t>
      </w:r>
    </w:p>
    <w:p w14:paraId="00060CE5" w14:textId="77777777" w:rsidR="00DC2B75" w:rsidRPr="00B134A5" w:rsidRDefault="00DC2B75" w:rsidP="002E7A54">
      <w:pPr>
        <w:rPr>
          <w:b/>
          <w:i/>
        </w:rPr>
      </w:pPr>
      <w:r w:rsidRPr="00B134A5">
        <w:rPr>
          <w:b/>
          <w:i/>
        </w:rPr>
        <w:t>Food Safety Supervisor (FSS)</w:t>
      </w:r>
    </w:p>
    <w:p w14:paraId="46567D66" w14:textId="740CDE45" w:rsidR="00DC2B75" w:rsidRDefault="00DC2B75" w:rsidP="0096592A">
      <w:pPr>
        <w:spacing w:after="240"/>
      </w:pPr>
      <w:r>
        <w:t>This tool would require a relevant business to have a certified FSS</w:t>
      </w:r>
      <w:r w:rsidRPr="3C0957AF">
        <w:rPr>
          <w:rStyle w:val="FootnoteReference"/>
        </w:rPr>
        <w:footnoteReference w:id="7"/>
      </w:r>
      <w:r>
        <w:t xml:space="preserve"> and for that FSS </w:t>
      </w:r>
      <w:r w:rsidR="00576B36">
        <w:t>to be</w:t>
      </w:r>
      <w:r>
        <w:t xml:space="preserve"> reasonably available to supervise food handlers and manage the safe handling of PHF. Through training, a FSS would be qualified in recognising and preventing the risks associated with food handling in food service and related retail. </w:t>
      </w:r>
    </w:p>
    <w:p w14:paraId="774311C4" w14:textId="07303A99" w:rsidR="00DC2B75" w:rsidRDefault="00DC2B75" w:rsidP="0096592A">
      <w:pPr>
        <w:spacing w:after="240"/>
      </w:pPr>
      <w:r w:rsidRPr="00844B2B">
        <w:rPr>
          <w:i/>
        </w:rPr>
        <w:t>Assessment:</w:t>
      </w:r>
      <w:r>
        <w:t xml:space="preserve"> FSANZ considers a FSS would improve the management of </w:t>
      </w:r>
      <w:r w:rsidRPr="002673C7">
        <w:t>the overall food safety of the business</w:t>
      </w:r>
      <w:r>
        <w:t>,</w:t>
      </w:r>
      <w:r w:rsidRPr="002673C7">
        <w:t xml:space="preserve"> </w:t>
      </w:r>
      <w:r>
        <w:t>across</w:t>
      </w:r>
      <w:r w:rsidRPr="002673C7">
        <w:t xml:space="preserve"> staff</w:t>
      </w:r>
      <w:r>
        <w:t xml:space="preserve">, and enhance the business’s food safety culture. </w:t>
      </w:r>
    </w:p>
    <w:p w14:paraId="1AFB3615" w14:textId="77777777" w:rsidR="00DC2B75" w:rsidRPr="00B134A5" w:rsidRDefault="00DC2B75" w:rsidP="002E7A54">
      <w:pPr>
        <w:pStyle w:val="FSBullet1"/>
        <w:keepNext/>
        <w:numPr>
          <w:ilvl w:val="0"/>
          <w:numId w:val="0"/>
        </w:numPr>
        <w:rPr>
          <w:b/>
          <w:i/>
        </w:rPr>
      </w:pPr>
      <w:r w:rsidRPr="00B134A5">
        <w:rPr>
          <w:b/>
          <w:i/>
        </w:rPr>
        <w:t>Food Handler Training (FHT)</w:t>
      </w:r>
    </w:p>
    <w:p w14:paraId="4ADF56ED" w14:textId="3CF67C7D" w:rsidR="00DC2B75" w:rsidRDefault="00DC2B75" w:rsidP="0096592A">
      <w:pPr>
        <w:pStyle w:val="FSBullet1"/>
        <w:numPr>
          <w:ilvl w:val="0"/>
          <w:numId w:val="0"/>
        </w:numPr>
        <w:spacing w:after="240"/>
      </w:pPr>
      <w:r>
        <w:t xml:space="preserve">This tool would require </w:t>
      </w:r>
      <w:r w:rsidR="000F2049">
        <w:t>most relevant</w:t>
      </w:r>
      <w:r>
        <w:t xml:space="preserve"> business to ensure that a person handling PHF has completed food handling training, including specified content to address key risks</w:t>
      </w:r>
      <w:r w:rsidR="000F2049">
        <w:t xml:space="preserve">. </w:t>
      </w:r>
      <w:r w:rsidR="00F7062B" w:rsidRPr="00120D64">
        <w:t xml:space="preserve">There are many food handler training options currently available, including those promoted by </w:t>
      </w:r>
      <w:r w:rsidR="00F7062B" w:rsidRPr="00120D64">
        <w:lastRenderedPageBreak/>
        <w:t>state/territory government that are no cost to local government or businesses</w:t>
      </w:r>
      <w:r w:rsidR="00F7062B">
        <w:t xml:space="preserve">. Food handler training </w:t>
      </w:r>
      <w:r w:rsidRPr="00CF156E">
        <w:t>would supplement inform</w:t>
      </w:r>
      <w:r>
        <w:t>ation from supervisors or peers.</w:t>
      </w:r>
      <w:r w:rsidR="000F2049">
        <w:t xml:space="preserve"> </w:t>
      </w:r>
    </w:p>
    <w:p w14:paraId="6B419951" w14:textId="255364DE" w:rsidR="000F2049" w:rsidRDefault="000F2049" w:rsidP="000F2049">
      <w:r w:rsidRPr="00D516D4">
        <w:rPr>
          <w:lang w:bidi="ar-SA"/>
        </w:rPr>
        <w:t xml:space="preserve">In some cases, the food handler may have relevant </w:t>
      </w:r>
      <w:r w:rsidRPr="00D516D4">
        <w:t xml:space="preserve">skills and knowledge through recognised prior learning. The food handler would need to demonstrate </w:t>
      </w:r>
      <w:r w:rsidR="00D516D4" w:rsidRPr="00D516D4">
        <w:t xml:space="preserve">to the authorised officer, </w:t>
      </w:r>
      <w:r w:rsidRPr="00D516D4">
        <w:t>the</w:t>
      </w:r>
      <w:r w:rsidR="00D516D4" w:rsidRPr="00D516D4">
        <w:t>se</w:t>
      </w:r>
      <w:r w:rsidRPr="00D516D4">
        <w:t xml:space="preserve"> skills and knowledge.</w:t>
      </w:r>
    </w:p>
    <w:p w14:paraId="43912907" w14:textId="77777777" w:rsidR="000F2049" w:rsidRPr="000F2049" w:rsidRDefault="000F2049" w:rsidP="000F2049">
      <w:pPr>
        <w:rPr>
          <w:lang w:bidi="ar-SA"/>
        </w:rPr>
      </w:pPr>
    </w:p>
    <w:p w14:paraId="7DD3CA17" w14:textId="5AD3B3AF" w:rsidR="00DC2B75" w:rsidRDefault="00DC2B75" w:rsidP="0096592A">
      <w:pPr>
        <w:spacing w:after="240"/>
      </w:pPr>
      <w:r w:rsidRPr="0058558E">
        <w:rPr>
          <w:i/>
        </w:rPr>
        <w:t>Assessment:</w:t>
      </w:r>
      <w:r>
        <w:t xml:space="preserve"> FSANZ considers </w:t>
      </w:r>
      <w:r w:rsidRPr="00E56393">
        <w:t>food handler training with specified content</w:t>
      </w:r>
      <w:r w:rsidRPr="00E56393" w:rsidDel="00FC7531">
        <w:t xml:space="preserve"> </w:t>
      </w:r>
      <w:r>
        <w:t xml:space="preserve">would increase </w:t>
      </w:r>
      <w:r w:rsidRPr="00D516D4">
        <w:t>awareness of the importance of, and techniques for, safe food handling.</w:t>
      </w:r>
      <w:r w:rsidR="00A21410" w:rsidRPr="00D516D4">
        <w:t xml:space="preserve"> Recognising the broad scope of food handling activities, and the varied maturity of businesses within this setting, flexibility has been incorporated into the regulatory measure, allowing a food handler to demonstrate relevant skills and knowledge.</w:t>
      </w:r>
      <w:r w:rsidR="00A21410">
        <w:t xml:space="preserve"> </w:t>
      </w:r>
    </w:p>
    <w:p w14:paraId="3F3C7AA5" w14:textId="1CBBC23F" w:rsidR="00DC2B75" w:rsidRPr="00B134A5" w:rsidRDefault="00DC2B75" w:rsidP="4BF32F5B">
      <w:pPr>
        <w:rPr>
          <w:b/>
          <w:bCs/>
          <w:i/>
          <w:iCs/>
        </w:rPr>
      </w:pPr>
      <w:r w:rsidRPr="4BF32F5B">
        <w:rPr>
          <w:b/>
          <w:bCs/>
          <w:i/>
          <w:iCs/>
        </w:rPr>
        <w:t>Evidence to substantiate food safety management (E</w:t>
      </w:r>
      <w:r w:rsidR="006813E9">
        <w:rPr>
          <w:b/>
          <w:bCs/>
          <w:i/>
          <w:iCs/>
        </w:rPr>
        <w:t xml:space="preserve"> for evidence</w:t>
      </w:r>
      <w:r w:rsidRPr="4BF32F5B">
        <w:rPr>
          <w:b/>
          <w:bCs/>
          <w:i/>
          <w:iCs/>
        </w:rPr>
        <w:t>)</w:t>
      </w:r>
    </w:p>
    <w:p w14:paraId="27A9BC59" w14:textId="6AC92D5F" w:rsidR="00A21410" w:rsidRPr="00A21410" w:rsidRDefault="00DC2B75" w:rsidP="00A21410">
      <w:pPr>
        <w:spacing w:after="240"/>
        <w:rPr>
          <w:lang w:eastAsia="en-AU"/>
        </w:rPr>
      </w:pPr>
      <w:r w:rsidRPr="66D1BB14">
        <w:rPr>
          <w:lang w:eastAsia="en-AU"/>
        </w:rPr>
        <w:t xml:space="preserve">This tool would require relevant businesses </w:t>
      </w:r>
      <w:r w:rsidR="00A21410" w:rsidRPr="00A21410">
        <w:rPr>
          <w:lang w:eastAsia="en-AU"/>
        </w:rPr>
        <w:t>be able to substantiate that key processes (including temperature control, food processing, cleaning and sanitising) are managed while under the control of the business, whether by record keeping or otherwise being able to demonstrate compliance to an authorised officer.</w:t>
      </w:r>
    </w:p>
    <w:p w14:paraId="4E4EE436" w14:textId="6245B7D1" w:rsidR="00DC2B75" w:rsidRDefault="00DC2B75" w:rsidP="0096592A">
      <w:pPr>
        <w:spacing w:after="240"/>
        <w:rPr>
          <w:lang w:eastAsia="en-AU"/>
        </w:rPr>
      </w:pPr>
      <w:r w:rsidRPr="66D1BB14">
        <w:rPr>
          <w:lang w:eastAsia="en-AU"/>
        </w:rPr>
        <w:t>FSANZ has targeted the processes that are known key contributors to foodborne illness outbreaks. These processes are also reported anecdotally by food regulators as common areas of non-compliance during audits of in-scope businesses.</w:t>
      </w:r>
    </w:p>
    <w:p w14:paraId="6426A6C7" w14:textId="1E39D6BC" w:rsidR="00DC2B75" w:rsidRDefault="00DC2B75" w:rsidP="0096592A">
      <w:pPr>
        <w:spacing w:after="240"/>
        <w:rPr>
          <w:lang w:eastAsia="en-AU"/>
        </w:rPr>
      </w:pPr>
      <w:r w:rsidRPr="0058558E">
        <w:rPr>
          <w:i/>
          <w:lang w:eastAsia="en-AU"/>
        </w:rPr>
        <w:t>Assessment:</w:t>
      </w:r>
      <w:r>
        <w:rPr>
          <w:lang w:eastAsia="en-AU"/>
        </w:rPr>
        <w:t xml:space="preserve"> Recording food safety management information in a template is already recommended best practice in Safe Food Australia, </w:t>
      </w:r>
      <w:r w:rsidR="00844B2B">
        <w:rPr>
          <w:lang w:eastAsia="en-AU"/>
        </w:rPr>
        <w:t>a</w:t>
      </w:r>
      <w:r>
        <w:rPr>
          <w:lang w:eastAsia="en-AU"/>
        </w:rPr>
        <w:t xml:space="preserve"> guide to Standard 3.2.2. Our assessment indicates this tool would help ensure a business safely manages these identified processes, as well as contribute to the business’s food safety culture.</w:t>
      </w:r>
      <w:r w:rsidR="00A21410">
        <w:rPr>
          <w:lang w:eastAsia="en-AU"/>
        </w:rPr>
        <w:t xml:space="preserve"> </w:t>
      </w:r>
      <w:r w:rsidR="00A21410" w:rsidRPr="00D516D4">
        <w:rPr>
          <w:lang w:eastAsia="en-AU"/>
        </w:rPr>
        <w:t>However, r</w:t>
      </w:r>
      <w:r w:rsidR="00A21410" w:rsidRPr="00D516D4">
        <w:t>ecognising the broad scope of food handling activities, and the varied maturity of businesses within this setting, flexibility has been incorporated into the regulatory measure, allowing a food handler to demonstrate compliance to an authorised officer.</w:t>
      </w:r>
    </w:p>
    <w:p w14:paraId="55EF25C7" w14:textId="77777777" w:rsidR="00DC2B75" w:rsidRPr="005322DF" w:rsidRDefault="00DC2B75" w:rsidP="002E7A54">
      <w:pPr>
        <w:keepNext/>
        <w:rPr>
          <w:b/>
          <w:i/>
        </w:rPr>
      </w:pPr>
      <w:r w:rsidRPr="005322DF">
        <w:rPr>
          <w:b/>
          <w:i/>
        </w:rPr>
        <w:t>Summary</w:t>
      </w:r>
    </w:p>
    <w:p w14:paraId="74209123" w14:textId="613B7C87" w:rsidR="00DC2B75" w:rsidRDefault="4D6C38EE" w:rsidP="0096592A">
      <w:pPr>
        <w:spacing w:after="240"/>
      </w:pPr>
      <w:r>
        <w:t xml:space="preserve">FSANZ concluded </w:t>
      </w:r>
      <w:r w:rsidR="00395D77">
        <w:t xml:space="preserve">that </w:t>
      </w:r>
      <w:r>
        <w:t>enhancement</w:t>
      </w:r>
      <w:r w:rsidRPr="00914E1E">
        <w:t xml:space="preserve"> </w:t>
      </w:r>
      <w:r>
        <w:t>to current food safety management is needed to address the unique and inherent risks in the food service sector, without overly burdening businesses</w:t>
      </w:r>
      <w:r w:rsidRPr="00914E1E">
        <w:t xml:space="preserve">. </w:t>
      </w:r>
      <w:r>
        <w:t xml:space="preserve">Consistent with the FSMWG’s report, FSANZ’s assessment considers the baseline Standard 3.2.2 requirements are not sufficient for managing the risks. Similarly, imposition of detailed </w:t>
      </w:r>
      <w:r w:rsidRPr="3C0957AF">
        <w:rPr>
          <w:rFonts w:cs="Arial"/>
        </w:rPr>
        <w:t>food safety programs</w:t>
      </w:r>
      <w:r>
        <w:t xml:space="preserve"> (</w:t>
      </w:r>
      <w:r w:rsidRPr="00914E1E">
        <w:t>Standard 3.2.1</w:t>
      </w:r>
      <w:r>
        <w:t>) is considered too onerous for this sector and the costs would outweigh the benefits</w:t>
      </w:r>
      <w:r w:rsidR="00DC2B75">
        <w:rPr>
          <w:rStyle w:val="FootnoteReference"/>
        </w:rPr>
        <w:footnoteReference w:id="8"/>
      </w:r>
      <w:r>
        <w:t xml:space="preserve">. </w:t>
      </w:r>
    </w:p>
    <w:p w14:paraId="5ADD1000" w14:textId="4095AA42" w:rsidR="00DC2B75" w:rsidRDefault="4D6C38EE" w:rsidP="0096592A">
      <w:pPr>
        <w:spacing w:after="240"/>
      </w:pPr>
      <w:r w:rsidRPr="034B53FF">
        <w:rPr>
          <w:lang w:val="en-AU"/>
        </w:rPr>
        <w:t xml:space="preserve">Applying </w:t>
      </w:r>
      <w:r w:rsidRPr="034B53FF">
        <w:rPr>
          <w:lang w:eastAsia="en-AU"/>
        </w:rPr>
        <w:t>nationally consistent tools, proportionate to food safety risks, is warranted</w:t>
      </w:r>
      <w:r w:rsidR="3D199661" w:rsidRPr="034B53FF">
        <w:rPr>
          <w:lang w:eastAsia="en-AU"/>
        </w:rPr>
        <w:t xml:space="preserve"> and will improve consumer confidence in the food service</w:t>
      </w:r>
      <w:r w:rsidR="725ECA4A" w:rsidRPr="034B53FF">
        <w:rPr>
          <w:lang w:eastAsia="en-AU"/>
        </w:rPr>
        <w:t xml:space="preserve"> industry</w:t>
      </w:r>
      <w:r w:rsidR="3D199661" w:rsidRPr="034B53FF">
        <w:rPr>
          <w:lang w:eastAsia="en-AU"/>
        </w:rPr>
        <w:t xml:space="preserve"> and ultimately improve business </w:t>
      </w:r>
      <w:r w:rsidR="003E12CF">
        <w:rPr>
          <w:lang w:eastAsia="en-AU"/>
        </w:rPr>
        <w:t>success</w:t>
      </w:r>
      <w:r w:rsidRPr="034B53FF">
        <w:rPr>
          <w:lang w:eastAsia="en-AU"/>
        </w:rPr>
        <w:t xml:space="preserve">. </w:t>
      </w:r>
      <w:r>
        <w:t xml:space="preserve">Each of the three tools described is considered practical, readily implementable in the relevant sector, and able to be maintained over time. There are existing resources available (e.g. from FSANZ and jurisdictional food regulatory agencies) to support their use. </w:t>
      </w:r>
    </w:p>
    <w:p w14:paraId="5815793C" w14:textId="659F2869" w:rsidR="00DC2B75" w:rsidRDefault="00DC2B75" w:rsidP="0096592A">
      <w:pPr>
        <w:spacing w:after="240"/>
      </w:pPr>
      <w:r w:rsidRPr="001750A9">
        <w:rPr>
          <w:color w:val="000000"/>
        </w:rPr>
        <w:t xml:space="preserve">These tools </w:t>
      </w:r>
      <w:r>
        <w:rPr>
          <w:color w:val="000000"/>
        </w:rPr>
        <w:t xml:space="preserve">would </w:t>
      </w:r>
      <w:r w:rsidRPr="001750A9">
        <w:rPr>
          <w:color w:val="000000"/>
        </w:rPr>
        <w:t>enhance existing baseline requirements in the Code. They focus on improving food safety skills, knowledge and practices</w:t>
      </w:r>
      <w:r w:rsidRPr="0080420F">
        <w:rPr>
          <w:color w:val="000000"/>
        </w:rPr>
        <w:t xml:space="preserve">, </w:t>
      </w:r>
      <w:r>
        <w:t xml:space="preserve">based on our knowledge of which foods and their hazards are significant contributors to illness from these sectors (e.g. raw eggs in ready-to-eat foods). FSANZ considers targeting improvements to these areas </w:t>
      </w:r>
      <w:r w:rsidRPr="001750A9">
        <w:rPr>
          <w:color w:val="000000"/>
        </w:rPr>
        <w:t>should provide the biggest impact on reducing foodborne illness.</w:t>
      </w:r>
      <w:r w:rsidRPr="005D3E40">
        <w:t xml:space="preserve"> </w:t>
      </w:r>
    </w:p>
    <w:p w14:paraId="0393B1C3" w14:textId="1B57B600" w:rsidR="00842F38" w:rsidRPr="00CD52EC" w:rsidRDefault="1C8394C5" w:rsidP="0096592A">
      <w:pPr>
        <w:pStyle w:val="Heading3"/>
      </w:pPr>
      <w:bookmarkStart w:id="74" w:name="_Toc109300417"/>
      <w:r>
        <w:lastRenderedPageBreak/>
        <w:t>Not-for-profit organisations and fund</w:t>
      </w:r>
      <w:r w:rsidR="00C15CA9">
        <w:t xml:space="preserve"> </w:t>
      </w:r>
      <w:r>
        <w:t>raising events</w:t>
      </w:r>
      <w:bookmarkStart w:id="75" w:name="_Toc104197729"/>
      <w:bookmarkStart w:id="76" w:name="_Toc104287947"/>
      <w:bookmarkEnd w:id="73"/>
      <w:bookmarkEnd w:id="74"/>
      <w:bookmarkEnd w:id="75"/>
      <w:bookmarkEnd w:id="76"/>
    </w:p>
    <w:p w14:paraId="54172BD4" w14:textId="1DBCD095" w:rsidR="00842F38" w:rsidRPr="00CD52EC" w:rsidRDefault="1C8394C5" w:rsidP="0096592A">
      <w:pPr>
        <w:spacing w:after="240"/>
      </w:pPr>
      <w:r>
        <w:t xml:space="preserve">As part of our assessment, FSANZ examined whether the </w:t>
      </w:r>
      <w:r w:rsidR="7D715385">
        <w:t>three</w:t>
      </w:r>
      <w:r>
        <w:t xml:space="preserve"> tools should be applied to not-for-profit organisations, and/or any businesses handling food at a fund</w:t>
      </w:r>
      <w:r w:rsidR="008D003A">
        <w:t xml:space="preserve"> </w:t>
      </w:r>
      <w:r>
        <w:t xml:space="preserve">raising event. </w:t>
      </w:r>
      <w:bookmarkStart w:id="77" w:name="_Toc104197730"/>
      <w:bookmarkStart w:id="78" w:name="_Toc104287948"/>
      <w:bookmarkEnd w:id="77"/>
      <w:bookmarkEnd w:id="78"/>
    </w:p>
    <w:p w14:paraId="46F67906" w14:textId="146BF16E" w:rsidR="00724283" w:rsidRPr="00844B2B" w:rsidRDefault="00724283" w:rsidP="002E7A54">
      <w:pPr>
        <w:rPr>
          <w:b/>
        </w:rPr>
      </w:pPr>
      <w:bookmarkStart w:id="79" w:name="_Toc104197731"/>
      <w:bookmarkStart w:id="80" w:name="_Toc104287949"/>
      <w:bookmarkEnd w:id="79"/>
      <w:bookmarkEnd w:id="80"/>
      <w:r w:rsidRPr="00844B2B">
        <w:rPr>
          <w:b/>
        </w:rPr>
        <w:t>Not for profit organisations</w:t>
      </w:r>
    </w:p>
    <w:p w14:paraId="504DE627" w14:textId="1BD33208" w:rsidR="00842F38" w:rsidRPr="00CD52EC" w:rsidRDefault="1C8394C5" w:rsidP="0096592A">
      <w:pPr>
        <w:spacing w:after="240"/>
      </w:pPr>
      <w:r>
        <w:t xml:space="preserve">Not-for-profit organisations are organisations that provide services to the community and do not operate to make a profit for its members (or shareholders, if applicable). </w:t>
      </w:r>
      <w:r w:rsidR="37A60A59">
        <w:t>Generally</w:t>
      </w:r>
      <w:r>
        <w:t xml:space="preserve">, a not-for-profit organisation </w:t>
      </w:r>
      <w:r w:rsidR="37A60A59">
        <w:t>that prepares food as an</w:t>
      </w:r>
      <w:r>
        <w:t xml:space="preserve"> ongoing activity</w:t>
      </w:r>
      <w:r w:rsidR="37A60A59">
        <w:t xml:space="preserve"> is a food business</w:t>
      </w:r>
      <w:r>
        <w:t xml:space="preserve">. </w:t>
      </w:r>
      <w:r w:rsidR="7D715385">
        <w:t xml:space="preserve">FSANZ considers </w:t>
      </w:r>
      <w:r w:rsidR="37A60A59">
        <w:t xml:space="preserve">these operations </w:t>
      </w:r>
      <w:r>
        <w:t>pose similar risks to any business that undertakes handling and service of PHF as ready</w:t>
      </w:r>
      <w:r w:rsidR="006707EC">
        <w:t>-</w:t>
      </w:r>
      <w:r>
        <w:t>to</w:t>
      </w:r>
      <w:r w:rsidR="006707EC">
        <w:t>-</w:t>
      </w:r>
      <w:r>
        <w:t>eat food to consumers.</w:t>
      </w:r>
      <w:bookmarkStart w:id="81" w:name="_Toc104197732"/>
      <w:bookmarkStart w:id="82" w:name="_Toc104287950"/>
      <w:bookmarkEnd w:id="81"/>
      <w:bookmarkEnd w:id="82"/>
    </w:p>
    <w:p w14:paraId="66739765" w14:textId="5A2100F6" w:rsidR="00724283" w:rsidRPr="00844B2B" w:rsidRDefault="7D715385" w:rsidP="002E7A54">
      <w:pPr>
        <w:rPr>
          <w:b/>
          <w:bCs/>
        </w:rPr>
      </w:pPr>
      <w:bookmarkStart w:id="83" w:name="_Toc104197733"/>
      <w:bookmarkStart w:id="84" w:name="_Toc104287951"/>
      <w:bookmarkEnd w:id="83"/>
      <w:bookmarkEnd w:id="84"/>
      <w:r w:rsidRPr="342FFC39">
        <w:rPr>
          <w:b/>
          <w:bCs/>
        </w:rPr>
        <w:t>Fund</w:t>
      </w:r>
      <w:r w:rsidR="008D003A">
        <w:rPr>
          <w:b/>
          <w:bCs/>
        </w:rPr>
        <w:t xml:space="preserve"> </w:t>
      </w:r>
      <w:r w:rsidRPr="342FFC39">
        <w:rPr>
          <w:b/>
          <w:bCs/>
        </w:rPr>
        <w:t>raising events</w:t>
      </w:r>
    </w:p>
    <w:p w14:paraId="110A415C" w14:textId="2A28FB88" w:rsidR="00724283" w:rsidRPr="00CD52EC" w:rsidRDefault="7D715385" w:rsidP="0096592A">
      <w:pPr>
        <w:spacing w:after="240"/>
      </w:pPr>
      <w:r>
        <w:t>A fund</w:t>
      </w:r>
      <w:r w:rsidR="008D003A">
        <w:t xml:space="preserve"> </w:t>
      </w:r>
      <w:r>
        <w:t>raising event is considered a one-off event and is defined in Standard 1.1.2 of the Code as ‘an event that raises funds solely for a community or charitable cause and not for personal financial gain’</w:t>
      </w:r>
      <w:r w:rsidRPr="342FFC39">
        <w:rPr>
          <w:lang w:val="en-AU"/>
        </w:rPr>
        <w:t>.</w:t>
      </w:r>
    </w:p>
    <w:p w14:paraId="60E24268" w14:textId="2BC82EA7" w:rsidR="00842F38" w:rsidRPr="00CD52EC" w:rsidRDefault="1C8394C5" w:rsidP="0096592A">
      <w:pPr>
        <w:spacing w:after="240"/>
      </w:pPr>
      <w:r>
        <w:t xml:space="preserve">Standard 3.2.2 requirements for the safe handling of PHF (including temperature </w:t>
      </w:r>
      <w:bookmarkStart w:id="85" w:name="_Int_60xCYplT"/>
      <w:r>
        <w:t>control, cleaning,</w:t>
      </w:r>
      <w:bookmarkEnd w:id="85"/>
      <w:r>
        <w:t xml:space="preserve"> and sanitising) apply to food handled at a fund</w:t>
      </w:r>
      <w:r w:rsidR="008D003A">
        <w:t xml:space="preserve"> </w:t>
      </w:r>
      <w:r>
        <w:t>raising event.</w:t>
      </w:r>
      <w:r w:rsidRPr="342FFC39">
        <w:rPr>
          <w:rFonts w:cs="Arial"/>
          <w:sz w:val="20"/>
          <w:szCs w:val="20"/>
          <w:lang w:val="en-AU"/>
        </w:rPr>
        <w:t xml:space="preserve"> </w:t>
      </w:r>
      <w:bookmarkStart w:id="86" w:name="_Toc104197734"/>
      <w:bookmarkStart w:id="87" w:name="_Toc104287952"/>
      <w:bookmarkEnd w:id="86"/>
      <w:bookmarkEnd w:id="87"/>
    </w:p>
    <w:p w14:paraId="03D994C3" w14:textId="42A83712" w:rsidR="00842F38" w:rsidRDefault="1C8394C5" w:rsidP="0096592A">
      <w:pPr>
        <w:spacing w:after="240"/>
        <w:rPr>
          <w:lang w:eastAsia="en-AU" w:bidi="ar-SA"/>
        </w:rPr>
      </w:pPr>
      <w:bookmarkStart w:id="88" w:name="_Toc104197735"/>
      <w:bookmarkStart w:id="89" w:name="_Toc104287953"/>
      <w:bookmarkStart w:id="90" w:name="_Toc104197737"/>
      <w:bookmarkStart w:id="91" w:name="_Toc104287955"/>
      <w:bookmarkEnd w:id="88"/>
      <w:bookmarkEnd w:id="89"/>
      <w:bookmarkEnd w:id="90"/>
      <w:bookmarkEnd w:id="91"/>
      <w:r w:rsidRPr="342FFC39">
        <w:rPr>
          <w:lang w:eastAsia="en-AU" w:bidi="ar-SA"/>
        </w:rPr>
        <w:t xml:space="preserve">FSANZ considers that additional regulatory measures, above what is already required by Standard 3.2.2, are not sustainable or reasonable in this setting. This is because businesses raising money for the community or charitable causes are often run by volunteers. The three tools of this proposal focus on skills and knowledge requirements and evidence tools that assist businesses to safely monitor and manage complex PHF handling processes. It is not practicable to require additional regulatory measures in these circumstances. </w:t>
      </w:r>
      <w:r>
        <w:t>FSANZ</w:t>
      </w:r>
      <w:r w:rsidR="690F1BB9">
        <w:t xml:space="preserve"> has</w:t>
      </w:r>
      <w:r>
        <w:t xml:space="preserve"> </w:t>
      </w:r>
      <w:r w:rsidR="690F1BB9">
        <w:t>therefore exempted fund</w:t>
      </w:r>
      <w:r w:rsidR="008D003A">
        <w:t xml:space="preserve"> </w:t>
      </w:r>
      <w:r w:rsidR="690F1BB9">
        <w:t>raising events from the drafted regulatory measures</w:t>
      </w:r>
      <w:r>
        <w:t xml:space="preserve">. </w:t>
      </w:r>
      <w:bookmarkStart w:id="92" w:name="_Toc104197738"/>
      <w:bookmarkStart w:id="93" w:name="_Toc104287956"/>
      <w:bookmarkEnd w:id="92"/>
      <w:bookmarkEnd w:id="93"/>
    </w:p>
    <w:p w14:paraId="448F1AF4" w14:textId="33689B15" w:rsidR="00842F38" w:rsidRDefault="00842F38" w:rsidP="0096592A">
      <w:pPr>
        <w:spacing w:after="240"/>
        <w:rPr>
          <w:szCs w:val="22"/>
          <w:lang w:eastAsia="en-AU" w:bidi="ar-SA"/>
        </w:rPr>
      </w:pPr>
      <w:bookmarkStart w:id="94" w:name="_Toc104197739"/>
      <w:bookmarkStart w:id="95" w:name="_Toc104287957"/>
      <w:bookmarkEnd w:id="94"/>
      <w:bookmarkEnd w:id="95"/>
      <w:r>
        <w:rPr>
          <w:szCs w:val="22"/>
          <w:lang w:eastAsia="en-AU" w:bidi="ar-SA"/>
        </w:rPr>
        <w:t xml:space="preserve">FSANZ considers </w:t>
      </w:r>
      <w:r w:rsidR="002E7A54">
        <w:rPr>
          <w:szCs w:val="22"/>
          <w:lang w:eastAsia="en-AU" w:bidi="ar-SA"/>
        </w:rPr>
        <w:t xml:space="preserve">the existing Code requirements and </w:t>
      </w:r>
      <w:r>
        <w:rPr>
          <w:szCs w:val="22"/>
          <w:lang w:eastAsia="en-AU" w:bidi="ar-SA"/>
        </w:rPr>
        <w:t>no</w:t>
      </w:r>
      <w:r>
        <w:t xml:space="preserve">n-regulatory tools, such as currently available education material supporting the implementation of Standard 3.2.2 requirements, are adequate for managing </w:t>
      </w:r>
      <w:r w:rsidR="00724283">
        <w:t xml:space="preserve">the potential </w:t>
      </w:r>
      <w:r>
        <w:t xml:space="preserve">of foodborne illness </w:t>
      </w:r>
      <w:r w:rsidR="00724283">
        <w:t>from</w:t>
      </w:r>
      <w:r>
        <w:t xml:space="preserve"> </w:t>
      </w:r>
      <w:r w:rsidR="00724283">
        <w:t>such events</w:t>
      </w:r>
      <w:r>
        <w:t>.</w:t>
      </w:r>
      <w:bookmarkStart w:id="96" w:name="_Toc104197740"/>
      <w:bookmarkStart w:id="97" w:name="_Toc104287958"/>
      <w:bookmarkEnd w:id="96"/>
      <w:bookmarkEnd w:id="97"/>
    </w:p>
    <w:p w14:paraId="332E02EA" w14:textId="02E1F484" w:rsidR="00842F38" w:rsidRDefault="1C8394C5" w:rsidP="0096592A">
      <w:pPr>
        <w:spacing w:after="240"/>
      </w:pPr>
      <w:bookmarkStart w:id="98" w:name="_Toc104197741"/>
      <w:bookmarkStart w:id="99" w:name="_Toc104287959"/>
      <w:bookmarkEnd w:id="98"/>
      <w:bookmarkEnd w:id="99"/>
      <w:r>
        <w:t>The proposed exemption provides a level playing field for all business that handle food for a fund</w:t>
      </w:r>
      <w:r w:rsidR="008D003A">
        <w:t xml:space="preserve"> </w:t>
      </w:r>
      <w:r>
        <w:t xml:space="preserve">raising event, regardless of whether or not they are a not-for-profit organisation. </w:t>
      </w:r>
      <w:bookmarkStart w:id="100" w:name="_Toc104197742"/>
      <w:bookmarkStart w:id="101" w:name="_Toc104287960"/>
      <w:bookmarkEnd w:id="100"/>
      <w:bookmarkEnd w:id="101"/>
    </w:p>
    <w:p w14:paraId="6A87C545" w14:textId="1239A9ED" w:rsidR="00842F38" w:rsidRDefault="00842F38" w:rsidP="0096592A">
      <w:pPr>
        <w:pStyle w:val="Heading3"/>
      </w:pPr>
      <w:bookmarkStart w:id="102" w:name="_Toc94172657"/>
      <w:bookmarkStart w:id="103" w:name="_Toc109300418"/>
      <w:r>
        <w:t>Risk management options</w:t>
      </w:r>
      <w:bookmarkStart w:id="104" w:name="_Toc104287962"/>
      <w:bookmarkEnd w:id="102"/>
      <w:bookmarkEnd w:id="103"/>
      <w:bookmarkEnd w:id="104"/>
    </w:p>
    <w:p w14:paraId="06C2DF7A" w14:textId="77777777" w:rsidR="008B5ADF" w:rsidRDefault="008B5ADF" w:rsidP="0096592A">
      <w:pPr>
        <w:spacing w:after="240"/>
        <w:rPr>
          <w:lang w:bidi="ar-SA"/>
        </w:rPr>
      </w:pPr>
      <w:r>
        <w:t xml:space="preserve">FSANZ considered three risk management </w:t>
      </w:r>
      <w:r w:rsidRPr="00A41684">
        <w:t>options</w:t>
      </w:r>
      <w:r>
        <w:t xml:space="preserve"> </w:t>
      </w:r>
      <w:r w:rsidRPr="0058558E">
        <w:rPr>
          <w:lang w:val="en-AU"/>
        </w:rPr>
        <w:t xml:space="preserve">to address </w:t>
      </w:r>
      <w:r w:rsidRPr="00AB7DFE">
        <w:rPr>
          <w:lang w:val="en-AU"/>
        </w:rPr>
        <w:t>the problem of foodborne illness attributed to the</w:t>
      </w:r>
      <w:r>
        <w:rPr>
          <w:lang w:val="en-AU"/>
        </w:rPr>
        <w:t xml:space="preserve"> food service</w:t>
      </w:r>
      <w:r w:rsidRPr="00AB7DFE">
        <w:rPr>
          <w:lang w:val="en-AU"/>
        </w:rPr>
        <w:t xml:space="preserve"> sectors:</w:t>
      </w:r>
    </w:p>
    <w:p w14:paraId="7D03F234" w14:textId="77777777" w:rsidR="008B5ADF" w:rsidRPr="00010A1A" w:rsidRDefault="008B5ADF" w:rsidP="00614AF5">
      <w:pPr>
        <w:pStyle w:val="ListParagraph"/>
        <w:numPr>
          <w:ilvl w:val="0"/>
          <w:numId w:val="62"/>
        </w:numPr>
      </w:pPr>
      <w:r w:rsidRPr="0096592A">
        <w:rPr>
          <w:i/>
        </w:rPr>
        <w:t>Option 1</w:t>
      </w:r>
      <w:r>
        <w:t xml:space="preserve"> –</w:t>
      </w:r>
      <w:r w:rsidRPr="00010A1A">
        <w:t xml:space="preserve"> </w:t>
      </w:r>
      <w:r>
        <w:t xml:space="preserve">retain </w:t>
      </w:r>
      <w:r w:rsidRPr="00010A1A">
        <w:t>the status quo</w:t>
      </w:r>
    </w:p>
    <w:p w14:paraId="1B6FBF83" w14:textId="77777777" w:rsidR="008B5ADF" w:rsidRPr="00010A1A" w:rsidRDefault="008B5ADF" w:rsidP="00614AF5">
      <w:pPr>
        <w:pStyle w:val="ListParagraph"/>
        <w:numPr>
          <w:ilvl w:val="0"/>
          <w:numId w:val="62"/>
        </w:numPr>
      </w:pPr>
      <w:r w:rsidRPr="0096592A">
        <w:rPr>
          <w:i/>
        </w:rPr>
        <w:t xml:space="preserve">Option 2 </w:t>
      </w:r>
      <w:r>
        <w:t>–</w:t>
      </w:r>
      <w:r w:rsidRPr="00010A1A">
        <w:t xml:space="preserve"> self-regulation</w:t>
      </w:r>
    </w:p>
    <w:p w14:paraId="2912B991" w14:textId="5BCC1C2D" w:rsidR="008B5ADF" w:rsidRDefault="008B5ADF" w:rsidP="00614AF5">
      <w:pPr>
        <w:pStyle w:val="ListParagraph"/>
        <w:numPr>
          <w:ilvl w:val="0"/>
          <w:numId w:val="62"/>
        </w:numPr>
        <w:spacing w:after="240"/>
      </w:pPr>
      <w:r w:rsidRPr="0096592A">
        <w:rPr>
          <w:i/>
        </w:rPr>
        <w:t xml:space="preserve">Option 3 </w:t>
      </w:r>
      <w:r>
        <w:t>–</w:t>
      </w:r>
      <w:r w:rsidRPr="00010A1A">
        <w:t xml:space="preserve"> regulatory approach</w:t>
      </w:r>
      <w:r w:rsidR="004A0FE0">
        <w:t xml:space="preserve"> with supporting guidance </w:t>
      </w:r>
      <w:r w:rsidR="004A0FE0" w:rsidRPr="004A0FE0">
        <w:t xml:space="preserve">tools that focus on food safety culture and education. </w:t>
      </w:r>
    </w:p>
    <w:p w14:paraId="2E9AE509" w14:textId="45567E5A" w:rsidR="008B5ADF" w:rsidRPr="00AB7DFE" w:rsidRDefault="35F108A2" w:rsidP="0096592A">
      <w:pPr>
        <w:spacing w:after="240"/>
      </w:pPr>
      <w:r>
        <w:t xml:space="preserve">Our initial assessment determined </w:t>
      </w:r>
      <w:r w:rsidRPr="342FFC39">
        <w:rPr>
          <w:lang w:val="en-US"/>
        </w:rPr>
        <w:t>option 1 and 2 would not address the problem, see</w:t>
      </w:r>
      <w:r w:rsidR="006707EC">
        <w:rPr>
          <w:lang w:val="en-US"/>
        </w:rPr>
        <w:t xml:space="preserve"> </w:t>
      </w:r>
      <w:r w:rsidRPr="342FFC39">
        <w:rPr>
          <w:lang w:val="en-US"/>
        </w:rPr>
        <w:t>details in the DRIS (</w:t>
      </w:r>
      <w:hyperlink w:anchor="_Attachment_C_–" w:history="1">
        <w:r w:rsidRPr="006B11F0">
          <w:rPr>
            <w:rStyle w:val="Hyperlink"/>
            <w:lang w:val="en-US"/>
          </w:rPr>
          <w:t>Attachment C</w:t>
        </w:r>
      </w:hyperlink>
      <w:r w:rsidRPr="342FFC39">
        <w:rPr>
          <w:lang w:val="en-US"/>
        </w:rPr>
        <w:t xml:space="preserve">). FSANZ then </w:t>
      </w:r>
      <w:r w:rsidR="16B78064" w:rsidRPr="342FFC39">
        <w:rPr>
          <w:lang w:val="en-US"/>
        </w:rPr>
        <w:t xml:space="preserve">further </w:t>
      </w:r>
      <w:r w:rsidRPr="342FFC39">
        <w:rPr>
          <w:lang w:val="en-US"/>
        </w:rPr>
        <w:t>considered a regulatory approach, assessing the appropriateness of different combinations of tools:</w:t>
      </w:r>
    </w:p>
    <w:p w14:paraId="07515FFE" w14:textId="77777777" w:rsidR="008B5ADF" w:rsidRPr="0096592A" w:rsidRDefault="35F108A2" w:rsidP="00614AF5">
      <w:pPr>
        <w:pStyle w:val="ListParagraph"/>
        <w:numPr>
          <w:ilvl w:val="0"/>
          <w:numId w:val="63"/>
        </w:numPr>
        <w:rPr>
          <w:rFonts w:eastAsia="Arial" w:cs="Arial"/>
          <w:i/>
          <w:iCs/>
        </w:rPr>
      </w:pPr>
      <w:r w:rsidRPr="0096592A">
        <w:rPr>
          <w:i/>
          <w:iCs/>
        </w:rPr>
        <w:t xml:space="preserve">Option 3.1 </w:t>
      </w:r>
      <w:r>
        <w:t>– requiring two tools: FSS and FHT</w:t>
      </w:r>
    </w:p>
    <w:p w14:paraId="57DC3EF5" w14:textId="77777777" w:rsidR="008B5ADF" w:rsidRPr="0096592A" w:rsidRDefault="35F108A2" w:rsidP="00614AF5">
      <w:pPr>
        <w:pStyle w:val="ListParagraph"/>
        <w:numPr>
          <w:ilvl w:val="0"/>
          <w:numId w:val="63"/>
        </w:numPr>
        <w:spacing w:after="240"/>
        <w:rPr>
          <w:rFonts w:eastAsia="Arial" w:cs="Arial"/>
          <w:i/>
          <w:iCs/>
        </w:rPr>
      </w:pPr>
      <w:r w:rsidRPr="0096592A">
        <w:rPr>
          <w:i/>
          <w:iCs/>
        </w:rPr>
        <w:t>Option 3.2</w:t>
      </w:r>
      <w:r>
        <w:t xml:space="preserve"> – requiring three tools: FSS, FHT and E.</w:t>
      </w:r>
    </w:p>
    <w:p w14:paraId="499F6EAE" w14:textId="00F6799D" w:rsidR="00842F38" w:rsidRPr="004E059A" w:rsidRDefault="00842F38" w:rsidP="0096592A">
      <w:pPr>
        <w:spacing w:after="240"/>
        <w:rPr>
          <w:lang w:val="en-US"/>
        </w:rPr>
      </w:pPr>
      <w:bookmarkStart w:id="105" w:name="_Toc104287969"/>
      <w:bookmarkEnd w:id="105"/>
      <w:r>
        <w:rPr>
          <w:lang w:val="en-US"/>
        </w:rPr>
        <w:t xml:space="preserve">FSANZ assessed the extent of foodborne illness linked to food service businesses and identified key food handling activities where food safety needs improvement. </w:t>
      </w:r>
      <w:r w:rsidRPr="004E059A">
        <w:rPr>
          <w:lang w:val="en-US"/>
        </w:rPr>
        <w:t xml:space="preserve">We considered </w:t>
      </w:r>
      <w:r w:rsidRPr="004E059A">
        <w:rPr>
          <w:lang w:val="en-US"/>
        </w:rPr>
        <w:lastRenderedPageBreak/>
        <w:t xml:space="preserve">the impact of </w:t>
      </w:r>
      <w:r w:rsidR="008B1699">
        <w:rPr>
          <w:lang w:val="en-US"/>
        </w:rPr>
        <w:t xml:space="preserve">mandating </w:t>
      </w:r>
      <w:r w:rsidRPr="004E059A">
        <w:rPr>
          <w:lang w:val="en-US"/>
        </w:rPr>
        <w:t>additional tools that would improve food safety</w:t>
      </w:r>
      <w:r>
        <w:rPr>
          <w:lang w:val="en-US"/>
        </w:rPr>
        <w:t xml:space="preserve"> during these food handling activities</w:t>
      </w:r>
      <w:r w:rsidRPr="004E059A">
        <w:rPr>
          <w:lang w:val="en-US"/>
        </w:rPr>
        <w:t xml:space="preserve">. </w:t>
      </w:r>
      <w:r>
        <w:rPr>
          <w:lang w:val="en-US"/>
        </w:rPr>
        <w:t xml:space="preserve">We also </w:t>
      </w:r>
      <w:r w:rsidRPr="004E059A">
        <w:rPr>
          <w:lang w:val="en-US"/>
        </w:rPr>
        <w:t xml:space="preserve">examined </w:t>
      </w:r>
      <w:r>
        <w:rPr>
          <w:lang w:val="en-US"/>
        </w:rPr>
        <w:t xml:space="preserve">national </w:t>
      </w:r>
      <w:r w:rsidRPr="004E059A">
        <w:rPr>
          <w:lang w:val="en-US"/>
        </w:rPr>
        <w:t>food safety requirements and international approaches.</w:t>
      </w:r>
      <w:bookmarkStart w:id="106" w:name="_Toc104287970"/>
      <w:bookmarkEnd w:id="106"/>
    </w:p>
    <w:p w14:paraId="10B3279D" w14:textId="427FDB85" w:rsidR="00842F38" w:rsidRPr="00853CBA" w:rsidRDefault="00842F38" w:rsidP="0096592A">
      <w:pPr>
        <w:pStyle w:val="Heading2"/>
        <w:ind w:left="567"/>
      </w:pPr>
      <w:bookmarkStart w:id="107" w:name="_Toc104287971"/>
      <w:bookmarkStart w:id="108" w:name="_Toc104287972"/>
      <w:bookmarkStart w:id="109" w:name="_Toc94172658"/>
      <w:bookmarkStart w:id="110" w:name="_Toc109300419"/>
      <w:bookmarkEnd w:id="107"/>
      <w:bookmarkEnd w:id="108"/>
      <w:r>
        <w:t>Preferred</w:t>
      </w:r>
      <w:r w:rsidRPr="00853CBA">
        <w:t xml:space="preserve"> approach</w:t>
      </w:r>
      <w:bookmarkEnd w:id="109"/>
      <w:r w:rsidR="00E36269">
        <w:t xml:space="preserve"> and rationale</w:t>
      </w:r>
      <w:bookmarkEnd w:id="110"/>
    </w:p>
    <w:p w14:paraId="5EE8F4EC" w14:textId="202918E8" w:rsidR="0065461D" w:rsidRDefault="17EB77BE" w:rsidP="0096592A">
      <w:pPr>
        <w:spacing w:after="240"/>
      </w:pPr>
      <w:r>
        <w:t xml:space="preserve">FSANZ has determined </w:t>
      </w:r>
      <w:r w:rsidR="00430CA7">
        <w:t xml:space="preserve">the </w:t>
      </w:r>
      <w:r>
        <w:t xml:space="preserve">preferred approach is to amend the Code to require </w:t>
      </w:r>
      <w:r w:rsidR="0D7D7DB2">
        <w:t xml:space="preserve">additional tools </w:t>
      </w:r>
      <w:r w:rsidR="701625DA">
        <w:t>(</w:t>
      </w:r>
      <w:r>
        <w:t xml:space="preserve">FSS, FHT and </w:t>
      </w:r>
      <w:r w:rsidR="7B5028F3">
        <w:t>E</w:t>
      </w:r>
      <w:r w:rsidR="701625DA">
        <w:t>)</w:t>
      </w:r>
      <w:r>
        <w:t xml:space="preserve"> for particular business types (Category 1 and 2 businesses). For </w:t>
      </w:r>
      <w:r w:rsidR="006707EC">
        <w:t xml:space="preserve">the </w:t>
      </w:r>
      <w:r>
        <w:t>lower risk Category 3 businesses</w:t>
      </w:r>
      <w:r w:rsidR="7A4255A9">
        <w:t xml:space="preserve">, </w:t>
      </w:r>
      <w:r w:rsidR="00430CA7">
        <w:t xml:space="preserve">the preferred approach </w:t>
      </w:r>
      <w:r>
        <w:t>is to retain the status quo</w:t>
      </w:r>
      <w:r w:rsidR="0D7D7DB2">
        <w:t xml:space="preserve"> (i.e. </w:t>
      </w:r>
      <w:r>
        <w:t>a non-regulatory approach</w:t>
      </w:r>
      <w:r w:rsidR="0D7D7DB2">
        <w:t>)</w:t>
      </w:r>
      <w:r>
        <w:t xml:space="preserve">. </w:t>
      </w:r>
    </w:p>
    <w:p w14:paraId="1E51A617" w14:textId="534E07B6" w:rsidR="002F104E" w:rsidRDefault="00E36269" w:rsidP="0096592A">
      <w:pPr>
        <w:spacing w:after="240"/>
      </w:pPr>
      <w:r>
        <w:t xml:space="preserve">Our rationale for this approach is </w:t>
      </w:r>
      <w:r w:rsidR="00D43E48">
        <w:t xml:space="preserve">underpinned by </w:t>
      </w:r>
      <w:r w:rsidR="00395D77">
        <w:t xml:space="preserve">six </w:t>
      </w:r>
      <w:r w:rsidR="00D43E48">
        <w:t>key reasons:</w:t>
      </w:r>
    </w:p>
    <w:p w14:paraId="097A3632" w14:textId="74A882C8" w:rsidR="00D43E48" w:rsidRPr="008D0F68" w:rsidRDefault="00D43E48" w:rsidP="00614AF5">
      <w:pPr>
        <w:pStyle w:val="FSBullet"/>
        <w:numPr>
          <w:ilvl w:val="0"/>
          <w:numId w:val="10"/>
        </w:numPr>
      </w:pPr>
      <w:r>
        <w:t>The problem is a public health and safety issue</w:t>
      </w:r>
      <w:r w:rsidR="00395D77">
        <w:t xml:space="preserve"> of significance</w:t>
      </w:r>
      <w:r>
        <w:t>.</w:t>
      </w:r>
    </w:p>
    <w:p w14:paraId="2D970B5B" w14:textId="77777777" w:rsidR="003E12CF" w:rsidRDefault="00D43E48" w:rsidP="003E12CF">
      <w:pPr>
        <w:pStyle w:val="FSBullet"/>
        <w:numPr>
          <w:ilvl w:val="0"/>
          <w:numId w:val="10"/>
        </w:numPr>
      </w:pPr>
      <w:r>
        <w:t>National application is the best approach to reduce foodborne illness.</w:t>
      </w:r>
    </w:p>
    <w:p w14:paraId="3F2164D4" w14:textId="5E88C1F5" w:rsidR="0CF6DFAF" w:rsidRDefault="0CF6DFAF" w:rsidP="003E12CF">
      <w:pPr>
        <w:pStyle w:val="FSBullet"/>
        <w:numPr>
          <w:ilvl w:val="0"/>
          <w:numId w:val="10"/>
        </w:numPr>
      </w:pPr>
      <w:r>
        <w:t>Reducing</w:t>
      </w:r>
      <w:r w:rsidR="00395D77">
        <w:t xml:space="preserve"> risk of</w:t>
      </w:r>
      <w:r>
        <w:t xml:space="preserve"> foodborne illness associated with this sector will increase consumer and </w:t>
      </w:r>
      <w:r w:rsidR="0A3979B4">
        <w:t>business</w:t>
      </w:r>
      <w:r>
        <w:t xml:space="preserve"> </w:t>
      </w:r>
      <w:r w:rsidR="129174C8">
        <w:t>confidence.</w:t>
      </w:r>
    </w:p>
    <w:p w14:paraId="686517C9" w14:textId="68E450D3" w:rsidR="00D43E48" w:rsidRPr="008D0F68" w:rsidRDefault="00D43E48" w:rsidP="00614AF5">
      <w:pPr>
        <w:pStyle w:val="FSBullet"/>
        <w:numPr>
          <w:ilvl w:val="0"/>
          <w:numId w:val="10"/>
        </w:numPr>
      </w:pPr>
      <w:r w:rsidRPr="008D0F68">
        <w:t xml:space="preserve">Regulation applies </w:t>
      </w:r>
      <w:r>
        <w:t>to</w:t>
      </w:r>
      <w:r w:rsidRPr="008D0F68">
        <w:t xml:space="preserve"> all </w:t>
      </w:r>
      <w:r w:rsidR="006F63BF">
        <w:t xml:space="preserve">relevant </w:t>
      </w:r>
      <w:r w:rsidRPr="008D0F68">
        <w:t xml:space="preserve">businesses </w:t>
      </w:r>
      <w:r>
        <w:t>and addresses unique risks in the sectors.</w:t>
      </w:r>
    </w:p>
    <w:p w14:paraId="5F2D1D75" w14:textId="77777777" w:rsidR="00D43E48" w:rsidRDefault="00D43E48" w:rsidP="00614AF5">
      <w:pPr>
        <w:pStyle w:val="FSBullet"/>
        <w:numPr>
          <w:ilvl w:val="0"/>
          <w:numId w:val="10"/>
        </w:numPr>
      </w:pPr>
      <w:r w:rsidRPr="00D43E48">
        <w:t xml:space="preserve">Improved food safety </w:t>
      </w:r>
      <w:r>
        <w:t>behaviours have</w:t>
      </w:r>
      <w:r w:rsidRPr="00D43E48">
        <w:t xml:space="preserve"> been observed in</w:t>
      </w:r>
      <w:r>
        <w:rPr>
          <w:b/>
        </w:rPr>
        <w:t xml:space="preserve"> </w:t>
      </w:r>
      <w:r w:rsidRPr="00D43E48">
        <w:t xml:space="preserve">jurisdictions that have introduced </w:t>
      </w:r>
      <w:r>
        <w:t>similar measures.</w:t>
      </w:r>
      <w:r w:rsidRPr="00D43E48">
        <w:t xml:space="preserve"> </w:t>
      </w:r>
    </w:p>
    <w:p w14:paraId="50773856" w14:textId="77777777" w:rsidR="00B42EBA" w:rsidRDefault="00D43E48" w:rsidP="00614AF5">
      <w:pPr>
        <w:pStyle w:val="FSBullet"/>
        <w:numPr>
          <w:ilvl w:val="0"/>
          <w:numId w:val="10"/>
        </w:numPr>
        <w:spacing w:after="240"/>
      </w:pPr>
      <w:r>
        <w:t>Supporting (state) resources are available to implement these tools nationally.</w:t>
      </w:r>
    </w:p>
    <w:p w14:paraId="1F8C7375" w14:textId="0397339C" w:rsidR="00E36269" w:rsidRDefault="00157093" w:rsidP="0096592A">
      <w:pPr>
        <w:pStyle w:val="Heading3"/>
      </w:pPr>
      <w:bookmarkStart w:id="111" w:name="_Toc109300420"/>
      <w:r>
        <w:t>Graduated</w:t>
      </w:r>
      <w:r w:rsidR="00E36269" w:rsidRPr="00A2312A">
        <w:t xml:space="preserve"> </w:t>
      </w:r>
      <w:r w:rsidR="00E36269" w:rsidRPr="00D92109">
        <w:t>approach</w:t>
      </w:r>
      <w:r w:rsidR="008B6B1A">
        <w:t xml:space="preserve"> enabling risk proportionate regulation</w:t>
      </w:r>
      <w:bookmarkEnd w:id="111"/>
    </w:p>
    <w:p w14:paraId="3B638671" w14:textId="796BC217" w:rsidR="00E36269" w:rsidRPr="00B31DDB" w:rsidRDefault="00430CA7" w:rsidP="0096592A">
      <w:pPr>
        <w:spacing w:after="240"/>
        <w:rPr>
          <w:rFonts w:eastAsiaTheme="minorHAnsi" w:cs="Arial"/>
          <w:szCs w:val="22"/>
        </w:rPr>
      </w:pPr>
      <w:r>
        <w:t>For the reasons outlined in this report</w:t>
      </w:r>
      <w:r w:rsidR="00B75EBF">
        <w:t>, and the accompanying DRIS</w:t>
      </w:r>
      <w:r>
        <w:t>, we</w:t>
      </w:r>
      <w:r w:rsidR="0065461D">
        <w:t xml:space="preserve"> concluded a </w:t>
      </w:r>
      <w:r w:rsidR="00844B2B">
        <w:t>graduated</w:t>
      </w:r>
      <w:r w:rsidR="0065461D">
        <w:t xml:space="preserve"> regulatory approach </w:t>
      </w:r>
      <w:r w:rsidR="0065461D">
        <w:rPr>
          <w:rFonts w:cs="Arial"/>
          <w:szCs w:val="22"/>
        </w:rPr>
        <w:t>is warranted</w:t>
      </w:r>
      <w:r w:rsidR="00D92109">
        <w:rPr>
          <w:rFonts w:cs="Arial"/>
          <w:szCs w:val="22"/>
        </w:rPr>
        <w:t>,</w:t>
      </w:r>
      <w:r w:rsidR="0065461D">
        <w:t xml:space="preserve"> based on </w:t>
      </w:r>
      <w:r w:rsidR="00D92109">
        <w:t xml:space="preserve">our assessment of </w:t>
      </w:r>
      <w:r w:rsidR="0065461D">
        <w:t xml:space="preserve">food safety </w:t>
      </w:r>
      <w:r w:rsidR="0065461D" w:rsidRPr="00854149">
        <w:rPr>
          <w:rFonts w:cs="Arial"/>
          <w:szCs w:val="22"/>
        </w:rPr>
        <w:t>risk, cost-benefit, and appropriateness</w:t>
      </w:r>
      <w:r w:rsidR="0065461D" w:rsidRPr="00B31DDB">
        <w:rPr>
          <w:rFonts w:cs="Arial"/>
          <w:szCs w:val="22"/>
        </w:rPr>
        <w:t xml:space="preserve">. This approach </w:t>
      </w:r>
      <w:r w:rsidR="0065461D" w:rsidRPr="00FF7AEF">
        <w:rPr>
          <w:rFonts w:eastAsiaTheme="minorHAnsi" w:cs="Arial"/>
          <w:szCs w:val="22"/>
        </w:rPr>
        <w:t xml:space="preserve">identifies which tools would improve </w:t>
      </w:r>
      <w:r w:rsidR="0065461D">
        <w:rPr>
          <w:rFonts w:eastAsiaTheme="minorHAnsi" w:cs="Arial"/>
          <w:szCs w:val="22"/>
        </w:rPr>
        <w:t xml:space="preserve">food </w:t>
      </w:r>
      <w:r w:rsidR="0065461D" w:rsidRPr="00FF7AEF">
        <w:rPr>
          <w:rFonts w:eastAsiaTheme="minorHAnsi" w:cs="Arial"/>
          <w:szCs w:val="22"/>
        </w:rPr>
        <w:t>handling practices of different business</w:t>
      </w:r>
      <w:r w:rsidR="0065461D">
        <w:rPr>
          <w:rFonts w:eastAsiaTheme="minorHAnsi" w:cs="Arial"/>
          <w:szCs w:val="22"/>
        </w:rPr>
        <w:t>,</w:t>
      </w:r>
      <w:r w:rsidR="0065461D" w:rsidRPr="00FF7AEF">
        <w:rPr>
          <w:rFonts w:eastAsiaTheme="minorHAnsi" w:cs="Arial"/>
          <w:szCs w:val="22"/>
        </w:rPr>
        <w:t xml:space="preserve"> target</w:t>
      </w:r>
      <w:r w:rsidR="00D92109">
        <w:rPr>
          <w:rFonts w:eastAsiaTheme="minorHAnsi" w:cs="Arial"/>
          <w:szCs w:val="22"/>
        </w:rPr>
        <w:t>ing</w:t>
      </w:r>
      <w:r w:rsidR="0065461D">
        <w:rPr>
          <w:rFonts w:eastAsiaTheme="minorHAnsi" w:cs="Arial"/>
          <w:szCs w:val="22"/>
        </w:rPr>
        <w:t xml:space="preserve"> additional measures where </w:t>
      </w:r>
      <w:r w:rsidR="00D92109">
        <w:rPr>
          <w:rFonts w:eastAsiaTheme="minorHAnsi" w:cs="Arial"/>
          <w:szCs w:val="22"/>
        </w:rPr>
        <w:t xml:space="preserve">they are </w:t>
      </w:r>
      <w:r w:rsidR="0065461D">
        <w:rPr>
          <w:rFonts w:eastAsiaTheme="minorHAnsi" w:cs="Arial"/>
          <w:szCs w:val="22"/>
        </w:rPr>
        <w:t xml:space="preserve">needed. </w:t>
      </w:r>
      <w:r w:rsidR="0065461D" w:rsidRPr="002161F3">
        <w:rPr>
          <w:rFonts w:cs="Arial"/>
          <w:szCs w:val="22"/>
        </w:rPr>
        <w:t>In this way, the regulatory obligations placed on a food business</w:t>
      </w:r>
      <w:r w:rsidR="0065461D">
        <w:rPr>
          <w:rFonts w:cs="Arial"/>
          <w:szCs w:val="22"/>
        </w:rPr>
        <w:t xml:space="preserve"> are</w:t>
      </w:r>
      <w:r w:rsidR="0065461D" w:rsidRPr="002161F3">
        <w:rPr>
          <w:rFonts w:cs="Arial"/>
          <w:szCs w:val="22"/>
        </w:rPr>
        <w:t xml:space="preserve"> proportionately matched to the risk </w:t>
      </w:r>
      <w:r w:rsidR="0065461D">
        <w:rPr>
          <w:rFonts w:cs="Arial"/>
          <w:szCs w:val="22"/>
        </w:rPr>
        <w:t xml:space="preserve">of </w:t>
      </w:r>
      <w:r w:rsidR="0065461D" w:rsidRPr="002161F3">
        <w:rPr>
          <w:rFonts w:cs="Arial"/>
          <w:szCs w:val="22"/>
        </w:rPr>
        <w:t>the</w:t>
      </w:r>
      <w:r w:rsidR="0065461D">
        <w:rPr>
          <w:rFonts w:cs="Arial"/>
          <w:szCs w:val="22"/>
        </w:rPr>
        <w:t>ir</w:t>
      </w:r>
      <w:r w:rsidR="0065461D" w:rsidRPr="002161F3">
        <w:rPr>
          <w:rFonts w:cs="Arial"/>
          <w:szCs w:val="22"/>
        </w:rPr>
        <w:t xml:space="preserve"> activities</w:t>
      </w:r>
      <w:r w:rsidR="00D92109">
        <w:rPr>
          <w:rFonts w:cs="Arial"/>
          <w:szCs w:val="22"/>
        </w:rPr>
        <w:t xml:space="preserve">, as </w:t>
      </w:r>
      <w:r w:rsidR="00D92109">
        <w:rPr>
          <w:lang w:eastAsia="en-AU" w:bidi="ar-SA"/>
        </w:rPr>
        <w:t>des</w:t>
      </w:r>
      <w:r w:rsidR="0032002D">
        <w:rPr>
          <w:lang w:eastAsia="en-AU" w:bidi="ar-SA"/>
        </w:rPr>
        <w:t>c</w:t>
      </w:r>
      <w:r w:rsidR="00E36269">
        <w:rPr>
          <w:lang w:eastAsia="en-AU" w:bidi="ar-SA"/>
        </w:rPr>
        <w:t xml:space="preserve">ribed below. </w:t>
      </w:r>
    </w:p>
    <w:p w14:paraId="6C7096E1" w14:textId="7538DE04" w:rsidR="008E283D" w:rsidRDefault="1C8394C5" w:rsidP="0096592A">
      <w:pPr>
        <w:spacing w:after="240"/>
      </w:pPr>
      <w:r w:rsidRPr="4BF32F5B">
        <w:rPr>
          <w:b/>
          <w:bCs/>
        </w:rPr>
        <w:t>Category 1</w:t>
      </w:r>
      <w:r w:rsidR="05C018D6" w:rsidRPr="4BF32F5B">
        <w:rPr>
          <w:b/>
          <w:bCs/>
        </w:rPr>
        <w:t xml:space="preserve"> </w:t>
      </w:r>
      <w:r w:rsidRPr="4BF32F5B">
        <w:rPr>
          <w:b/>
          <w:bCs/>
        </w:rPr>
        <w:t>businesses</w:t>
      </w:r>
      <w:r w:rsidR="0D4E2B47">
        <w:t xml:space="preserve"> (e.g.</w:t>
      </w:r>
      <w:r>
        <w:t xml:space="preserve"> caterers, restaurants, takeaway, retailers who make and serve PHF</w:t>
      </w:r>
      <w:r w:rsidR="0D4E2B47">
        <w:t>)</w:t>
      </w:r>
      <w:r>
        <w:t xml:space="preserve"> </w:t>
      </w:r>
    </w:p>
    <w:p w14:paraId="3A683DA1" w14:textId="1207A6DB" w:rsidR="00842F38" w:rsidRDefault="0016035F" w:rsidP="0096592A">
      <w:pPr>
        <w:shd w:val="clear" w:color="auto" w:fill="FDE9D9" w:themeFill="accent6" w:themeFillTint="33"/>
        <w:spacing w:after="240"/>
      </w:pPr>
      <w:r w:rsidRPr="00D92109">
        <w:rPr>
          <w:i/>
        </w:rPr>
        <w:t>Chosen o</w:t>
      </w:r>
      <w:r w:rsidR="00842F38" w:rsidRPr="00D92109">
        <w:rPr>
          <w:i/>
        </w:rPr>
        <w:t>ption: 3.2</w:t>
      </w:r>
      <w:r w:rsidR="00E36269">
        <w:rPr>
          <w:i/>
        </w:rPr>
        <w:t xml:space="preserve"> –</w:t>
      </w:r>
      <w:r w:rsidR="00842F38" w:rsidRPr="00354C94">
        <w:rPr>
          <w:b/>
          <w:i/>
        </w:rPr>
        <w:t xml:space="preserve"> </w:t>
      </w:r>
      <w:r w:rsidR="00D92109">
        <w:t>require</w:t>
      </w:r>
      <w:r w:rsidR="008E283D">
        <w:t xml:space="preserve"> </w:t>
      </w:r>
      <w:r w:rsidR="0024700D">
        <w:t>a</w:t>
      </w:r>
      <w:r w:rsidR="00842F38">
        <w:t>ll</w:t>
      </w:r>
      <w:r w:rsidR="00842F38" w:rsidRPr="00EA0BDC">
        <w:t xml:space="preserve"> </w:t>
      </w:r>
      <w:r w:rsidR="008E283D" w:rsidRPr="00EA0BDC">
        <w:t>three</w:t>
      </w:r>
      <w:r w:rsidR="008E283D">
        <w:t xml:space="preserve"> regulatory </w:t>
      </w:r>
      <w:r w:rsidR="00842F38">
        <w:t>tools (FSS, FHT and E)</w:t>
      </w:r>
      <w:r w:rsidR="00842F38" w:rsidRPr="00EA0BDC">
        <w:t xml:space="preserve">. </w:t>
      </w:r>
      <w:r w:rsidR="00842F38">
        <w:t xml:space="preserve">These tools are considered practical, readily implemented in the sector and able to be maintained over time, </w:t>
      </w:r>
      <w:r w:rsidR="008E283D">
        <w:t>with</w:t>
      </w:r>
      <w:r w:rsidR="00842F38">
        <w:t xml:space="preserve"> existing resources available to support implementation. </w:t>
      </w:r>
    </w:p>
    <w:p w14:paraId="48AA7D82" w14:textId="77777777" w:rsidR="00842F38" w:rsidRDefault="00842F38" w:rsidP="0096592A">
      <w:pPr>
        <w:shd w:val="clear" w:color="auto" w:fill="FDE9D9" w:themeFill="accent6" w:themeFillTint="33"/>
        <w:spacing w:after="240"/>
      </w:pPr>
      <w:r>
        <w:t xml:space="preserve">Non-regulatory tools that focus on </w:t>
      </w:r>
      <w:r w:rsidRPr="00EA0BDC">
        <w:t>food safety culture and education</w:t>
      </w:r>
      <w:r>
        <w:t xml:space="preserve"> would increase the efficacy of these regulatory measures. </w:t>
      </w:r>
    </w:p>
    <w:p w14:paraId="2D3DD246" w14:textId="07B2D156" w:rsidR="008E283D" w:rsidRPr="00EA0BDC" w:rsidRDefault="008E283D" w:rsidP="0096592A">
      <w:pPr>
        <w:spacing w:after="240"/>
      </w:pPr>
      <w:r w:rsidRPr="00753A52">
        <w:rPr>
          <w:i/>
        </w:rPr>
        <w:t>Rationale</w:t>
      </w:r>
      <w:r>
        <w:t xml:space="preserve">: </w:t>
      </w:r>
      <w:r w:rsidR="00B37206">
        <w:t xml:space="preserve">As evidenced in the </w:t>
      </w:r>
      <w:hyperlink r:id="rId31">
        <w:r w:rsidR="00B37206" w:rsidRPr="469FC55E">
          <w:rPr>
            <w:rStyle w:val="Hyperlink"/>
          </w:rPr>
          <w:t>microbiological risk profile,</w:t>
        </w:r>
      </w:hyperlink>
      <w:r w:rsidR="00B37206">
        <w:t xml:space="preserve"> t</w:t>
      </w:r>
      <w:r>
        <w:t>hese businesses are associated with the highest food safety risks</w:t>
      </w:r>
      <w:r w:rsidRPr="00EA0BDC">
        <w:t xml:space="preserve">. </w:t>
      </w:r>
      <w:r>
        <w:t>C</w:t>
      </w:r>
      <w:r w:rsidRPr="00AB43FF">
        <w:t>haracteristically</w:t>
      </w:r>
      <w:r>
        <w:t>,</w:t>
      </w:r>
      <w:r w:rsidRPr="00AB43FF">
        <w:t xml:space="preserve"> </w:t>
      </w:r>
      <w:r>
        <w:t>t</w:t>
      </w:r>
      <w:r w:rsidRPr="00AB43FF">
        <w:t>hese businesses</w:t>
      </w:r>
      <w:r>
        <w:t xml:space="preserve">’ </w:t>
      </w:r>
      <w:r w:rsidRPr="00AB43FF">
        <w:t xml:space="preserve">food handling </w:t>
      </w:r>
      <w:r>
        <w:t>activities</w:t>
      </w:r>
      <w:r w:rsidRPr="00AB43FF">
        <w:t xml:space="preserve"> require the most critical controls to produce safe food. There is a strong evidence base for foodborne ill</w:t>
      </w:r>
      <w:r>
        <w:t xml:space="preserve">ness linked to these settings. </w:t>
      </w:r>
      <w:r w:rsidR="00B37206">
        <w:t>As summarised in the DRIS, n</w:t>
      </w:r>
      <w:r w:rsidR="00A644F1">
        <w:rPr>
          <w:lang w:val="en-AU"/>
        </w:rPr>
        <w:t>either the</w:t>
      </w:r>
      <w:r w:rsidR="00301253" w:rsidRPr="00472F78">
        <w:rPr>
          <w:lang w:val="en-AU"/>
        </w:rPr>
        <w:t xml:space="preserve"> status quo</w:t>
      </w:r>
      <w:r w:rsidR="00A644F1">
        <w:rPr>
          <w:lang w:val="en-AU"/>
        </w:rPr>
        <w:t>, or self-regulation</w:t>
      </w:r>
      <w:r w:rsidR="00301253">
        <w:rPr>
          <w:lang w:val="en-AU"/>
        </w:rPr>
        <w:t xml:space="preserve"> </w:t>
      </w:r>
      <w:r w:rsidR="00301253" w:rsidRPr="00472F78">
        <w:rPr>
          <w:lang w:val="en-AU"/>
        </w:rPr>
        <w:t xml:space="preserve">was </w:t>
      </w:r>
      <w:r w:rsidR="00301253">
        <w:rPr>
          <w:lang w:val="en-AU"/>
        </w:rPr>
        <w:t xml:space="preserve">our </w:t>
      </w:r>
      <w:r w:rsidR="00301253" w:rsidRPr="00472F78">
        <w:rPr>
          <w:lang w:val="en-AU"/>
        </w:rPr>
        <w:t>preferred</w:t>
      </w:r>
      <w:r w:rsidR="00301253">
        <w:rPr>
          <w:lang w:val="en-AU"/>
        </w:rPr>
        <w:t xml:space="preserve"> option here</w:t>
      </w:r>
      <w:r w:rsidR="00301253" w:rsidRPr="00472F78">
        <w:rPr>
          <w:lang w:val="en-AU"/>
        </w:rPr>
        <w:t xml:space="preserve">, </w:t>
      </w:r>
      <w:r w:rsidR="00301253">
        <w:rPr>
          <w:lang w:val="en-AU"/>
        </w:rPr>
        <w:t xml:space="preserve">as </w:t>
      </w:r>
      <w:r w:rsidR="00A644F1">
        <w:rPr>
          <w:lang w:val="en-AU"/>
        </w:rPr>
        <w:t>they would</w:t>
      </w:r>
      <w:r w:rsidR="00301253">
        <w:rPr>
          <w:lang w:val="en-AU"/>
        </w:rPr>
        <w:t xml:space="preserve"> not adequately support public health and safety objectives.</w:t>
      </w:r>
      <w:r w:rsidR="00B75EBF">
        <w:rPr>
          <w:lang w:val="en-AU"/>
        </w:rPr>
        <w:t xml:space="preserve"> These tools have the efficacy to reduce foodborne illness in category 1 businesses.</w:t>
      </w:r>
    </w:p>
    <w:p w14:paraId="1638C2BF" w14:textId="2DE98F94" w:rsidR="008E283D" w:rsidRDefault="00842F38" w:rsidP="0096592A">
      <w:pPr>
        <w:spacing w:after="240"/>
      </w:pPr>
      <w:r w:rsidRPr="00EA0BDC">
        <w:rPr>
          <w:b/>
        </w:rPr>
        <w:t>Category 2</w:t>
      </w:r>
      <w:r w:rsidR="00E36269">
        <w:rPr>
          <w:b/>
        </w:rPr>
        <w:t xml:space="preserve"> </w:t>
      </w:r>
      <w:r w:rsidR="00E36269" w:rsidRPr="00E36269">
        <w:rPr>
          <w:b/>
        </w:rPr>
        <w:t>businesses</w:t>
      </w:r>
      <w:r w:rsidR="00E36269" w:rsidRPr="00D92109">
        <w:t xml:space="preserve"> (r</w:t>
      </w:r>
      <w:r w:rsidRPr="00E36269">
        <w:t>etailers</w:t>
      </w:r>
      <w:r w:rsidRPr="00FA4801">
        <w:t xml:space="preserve"> of unpackaged ready-to-eat </w:t>
      </w:r>
      <w:r>
        <w:t>PHF</w:t>
      </w:r>
      <w:r w:rsidR="00E36269">
        <w:t>)</w:t>
      </w:r>
      <w:r w:rsidR="00582EC1">
        <w:t xml:space="preserve"> </w:t>
      </w:r>
    </w:p>
    <w:p w14:paraId="1260927F" w14:textId="5B78F89B" w:rsidR="008E283D" w:rsidRDefault="008E283D" w:rsidP="0096592A">
      <w:pPr>
        <w:shd w:val="clear" w:color="auto" w:fill="C6D9F1" w:themeFill="text2" w:themeFillTint="33"/>
        <w:spacing w:after="240"/>
      </w:pPr>
      <w:r w:rsidRPr="00453121">
        <w:rPr>
          <w:i/>
        </w:rPr>
        <w:t>Chosen option</w:t>
      </w:r>
      <w:r w:rsidR="00D92109">
        <w:rPr>
          <w:i/>
        </w:rPr>
        <w:t>:</w:t>
      </w:r>
      <w:r w:rsidRPr="00453121">
        <w:rPr>
          <w:i/>
        </w:rPr>
        <w:t xml:space="preserve"> 3.1</w:t>
      </w:r>
      <w:r>
        <w:rPr>
          <w:i/>
        </w:rPr>
        <w:t xml:space="preserve"> </w:t>
      </w:r>
      <w:r>
        <w:rPr>
          <w:i/>
        </w:rPr>
        <w:softHyphen/>
        <w:t>–</w:t>
      </w:r>
      <w:r>
        <w:t xml:space="preserve"> </w:t>
      </w:r>
      <w:r w:rsidR="00D92109">
        <w:t>require</w:t>
      </w:r>
      <w:r>
        <w:t xml:space="preserve"> t</w:t>
      </w:r>
      <w:r w:rsidRPr="00AB43FF">
        <w:t>wo regulatory tools (</w:t>
      </w:r>
      <w:r>
        <w:t>FSS and FHT</w:t>
      </w:r>
      <w:r w:rsidRPr="00AB43FF">
        <w:t>)</w:t>
      </w:r>
      <w:r>
        <w:t xml:space="preserve">. </w:t>
      </w:r>
    </w:p>
    <w:p w14:paraId="51F31640" w14:textId="0A82B6AE" w:rsidR="008E283D" w:rsidRPr="00AB43FF" w:rsidRDefault="008E283D" w:rsidP="0096592A">
      <w:pPr>
        <w:shd w:val="clear" w:color="auto" w:fill="C6D9F1" w:themeFill="text2" w:themeFillTint="33"/>
        <w:spacing w:after="240"/>
      </w:pPr>
      <w:r>
        <w:t xml:space="preserve">Non-regulatory tools (food safety culture and education initiatives) would contribute to the </w:t>
      </w:r>
      <w:r>
        <w:lastRenderedPageBreak/>
        <w:t>effective implementation of these regulatory measures. Templates are available</w:t>
      </w:r>
      <w:r w:rsidRPr="3C0957AF">
        <w:rPr>
          <w:rStyle w:val="FootnoteReference"/>
        </w:rPr>
        <w:footnoteReference w:id="9"/>
      </w:r>
      <w:r>
        <w:t xml:space="preserve"> to assist these businesses maintain correct temperature control, but would not be mandated.</w:t>
      </w:r>
    </w:p>
    <w:p w14:paraId="137B5963" w14:textId="4F98F4F7" w:rsidR="00842F38" w:rsidRPr="00EA0BDC" w:rsidRDefault="008E283D" w:rsidP="0096592A">
      <w:pPr>
        <w:spacing w:after="240"/>
        <w:rPr>
          <w:b/>
          <w:i/>
        </w:rPr>
      </w:pPr>
      <w:r w:rsidRPr="00D92109">
        <w:rPr>
          <w:i/>
        </w:rPr>
        <w:t>Rationale</w:t>
      </w:r>
      <w:r>
        <w:t xml:space="preserve">: </w:t>
      </w:r>
      <w:r w:rsidR="00B37206">
        <w:t xml:space="preserve">As evidenced in the </w:t>
      </w:r>
      <w:hyperlink r:id="rId32" w:history="1">
        <w:r w:rsidR="00B37206" w:rsidRPr="00B37206">
          <w:rPr>
            <w:rStyle w:val="Hyperlink"/>
          </w:rPr>
          <w:t>microbiological risk profile</w:t>
        </w:r>
      </w:hyperlink>
      <w:r w:rsidR="00B37206">
        <w:t>, t</w:t>
      </w:r>
      <w:r>
        <w:t xml:space="preserve">hese businesses </w:t>
      </w:r>
      <w:r w:rsidR="00842F38">
        <w:t xml:space="preserve">have </w:t>
      </w:r>
      <w:r w:rsidR="00842F38" w:rsidRPr="00EA0BDC">
        <w:t>fewer</w:t>
      </w:r>
      <w:r w:rsidR="00842F38">
        <w:t xml:space="preserve"> </w:t>
      </w:r>
      <w:r w:rsidR="00842F38" w:rsidRPr="00EA0BDC">
        <w:t xml:space="preserve">critical controls required to produce safe food </w:t>
      </w:r>
      <w:r w:rsidR="00E36269">
        <w:t>than Category 1,</w:t>
      </w:r>
      <w:r w:rsidR="00842F38">
        <w:t xml:space="preserve"> </w:t>
      </w:r>
      <w:r w:rsidR="00842F38" w:rsidRPr="00EA0BDC">
        <w:t xml:space="preserve">and </w:t>
      </w:r>
      <w:r w:rsidR="0024700D">
        <w:t xml:space="preserve">there is </w:t>
      </w:r>
      <w:r w:rsidR="00842F38" w:rsidRPr="00AB43FF">
        <w:t xml:space="preserve">less evidence of foodborne illness linked to these settings. </w:t>
      </w:r>
      <w:r w:rsidR="00301253">
        <w:t xml:space="preserve">However, illness is still attributed to these businesses. </w:t>
      </w:r>
      <w:r w:rsidR="00B37206">
        <w:t>As summarised in the DRIS, n</w:t>
      </w:r>
      <w:r w:rsidR="00A644F1">
        <w:rPr>
          <w:lang w:val="en-AU"/>
        </w:rPr>
        <w:t>either the</w:t>
      </w:r>
      <w:r w:rsidR="00A644F1" w:rsidRPr="00472F78">
        <w:rPr>
          <w:lang w:val="en-AU"/>
        </w:rPr>
        <w:t xml:space="preserve"> status quo</w:t>
      </w:r>
      <w:r w:rsidR="00A644F1">
        <w:rPr>
          <w:lang w:val="en-AU"/>
        </w:rPr>
        <w:t xml:space="preserve">, or self-regulation </w:t>
      </w:r>
      <w:r w:rsidR="00A644F1" w:rsidRPr="00472F78">
        <w:rPr>
          <w:lang w:val="en-AU"/>
        </w:rPr>
        <w:t xml:space="preserve">was </w:t>
      </w:r>
      <w:r w:rsidR="00A644F1">
        <w:rPr>
          <w:lang w:val="en-AU"/>
        </w:rPr>
        <w:t xml:space="preserve">our </w:t>
      </w:r>
      <w:r w:rsidR="00A644F1" w:rsidRPr="00472F78">
        <w:rPr>
          <w:lang w:val="en-AU"/>
        </w:rPr>
        <w:t>preferred</w:t>
      </w:r>
      <w:r w:rsidR="00A644F1">
        <w:rPr>
          <w:lang w:val="en-AU"/>
        </w:rPr>
        <w:t xml:space="preserve"> option here</w:t>
      </w:r>
      <w:r w:rsidR="00A644F1" w:rsidRPr="00472F78">
        <w:rPr>
          <w:lang w:val="en-AU"/>
        </w:rPr>
        <w:t xml:space="preserve">, </w:t>
      </w:r>
      <w:r w:rsidR="00A644F1">
        <w:rPr>
          <w:lang w:val="en-AU"/>
        </w:rPr>
        <w:t>as they would not adequately support public health and safety objectives.</w:t>
      </w:r>
    </w:p>
    <w:p w14:paraId="2702E8D6" w14:textId="729E10CA" w:rsidR="008E283D" w:rsidRDefault="00842F38" w:rsidP="0096592A">
      <w:pPr>
        <w:spacing w:after="240"/>
      </w:pPr>
      <w:r w:rsidRPr="00AB43FF">
        <w:rPr>
          <w:b/>
        </w:rPr>
        <w:t>Category 3</w:t>
      </w:r>
      <w:r w:rsidR="002F104E">
        <w:rPr>
          <w:b/>
        </w:rPr>
        <w:t xml:space="preserve"> </w:t>
      </w:r>
      <w:r w:rsidR="0024700D">
        <w:rPr>
          <w:b/>
        </w:rPr>
        <w:t xml:space="preserve">businesses </w:t>
      </w:r>
      <w:r w:rsidR="0024700D" w:rsidRPr="00D92109">
        <w:t>(r</w:t>
      </w:r>
      <w:r w:rsidRPr="00AB43FF">
        <w:t xml:space="preserve">etailers of pre-packaged ready-to-eat </w:t>
      </w:r>
      <w:r>
        <w:t>PHF</w:t>
      </w:r>
      <w:r w:rsidR="002F104E">
        <w:t xml:space="preserve"> that </w:t>
      </w:r>
      <w:r>
        <w:t>remains packaged</w:t>
      </w:r>
      <w:r w:rsidR="0024700D">
        <w:t>)</w:t>
      </w:r>
      <w:r>
        <w:t xml:space="preserve"> </w:t>
      </w:r>
    </w:p>
    <w:p w14:paraId="125F8B5B" w14:textId="798526B2" w:rsidR="008E283D" w:rsidRDefault="008E283D" w:rsidP="0096592A">
      <w:pPr>
        <w:shd w:val="clear" w:color="auto" w:fill="EAF1DD" w:themeFill="accent3" w:themeFillTint="33"/>
        <w:spacing w:after="240"/>
      </w:pPr>
      <w:r w:rsidRPr="000F0C66">
        <w:rPr>
          <w:i/>
        </w:rPr>
        <w:t>Chosen option</w:t>
      </w:r>
      <w:r w:rsidR="00D92109">
        <w:rPr>
          <w:i/>
        </w:rPr>
        <w:t xml:space="preserve"> </w:t>
      </w:r>
      <w:r>
        <w:rPr>
          <w:i/>
        </w:rPr>
        <w:t xml:space="preserve">– </w:t>
      </w:r>
      <w:r w:rsidRPr="00D92109">
        <w:t>no regulatory measures</w:t>
      </w:r>
      <w:r>
        <w:t xml:space="preserve"> to be applied</w:t>
      </w:r>
      <w:r w:rsidRPr="00D92109">
        <w:t xml:space="preserve">. </w:t>
      </w:r>
    </w:p>
    <w:p w14:paraId="2526BCCB" w14:textId="5DCD73D2" w:rsidR="008E283D" w:rsidRPr="00842F38" w:rsidRDefault="008E283D" w:rsidP="0096592A">
      <w:pPr>
        <w:shd w:val="clear" w:color="auto" w:fill="EAF1DD" w:themeFill="accent3" w:themeFillTint="33"/>
        <w:spacing w:after="240"/>
      </w:pPr>
      <w:r w:rsidRPr="000F0C66">
        <w:t>A</w:t>
      </w:r>
      <w:r w:rsidRPr="00B20594">
        <w:t xml:space="preserve"> targeted education campaign focusing on storage and display temperature of </w:t>
      </w:r>
      <w:r>
        <w:t>PHF</w:t>
      </w:r>
      <w:r w:rsidRPr="00B20594">
        <w:t xml:space="preserve"> is considered the most appropriate option</w:t>
      </w:r>
      <w:r>
        <w:t xml:space="preserve"> for Category 3</w:t>
      </w:r>
      <w:r w:rsidRPr="00B20594">
        <w:t xml:space="preserve">. Templates are available to assist these businesses </w:t>
      </w:r>
      <w:r>
        <w:t>maintain correct temperature control</w:t>
      </w:r>
      <w:r w:rsidRPr="00B20594">
        <w:t>, but would not be mandated.</w:t>
      </w:r>
    </w:p>
    <w:p w14:paraId="2E86610E" w14:textId="7063E85B" w:rsidR="00C23067" w:rsidRDefault="008E283D" w:rsidP="0096592A">
      <w:pPr>
        <w:spacing w:after="240"/>
      </w:pPr>
      <w:r w:rsidRPr="00D92109">
        <w:rPr>
          <w:i/>
        </w:rPr>
        <w:t>Rationale</w:t>
      </w:r>
      <w:r>
        <w:t xml:space="preserve">: </w:t>
      </w:r>
      <w:r w:rsidR="00B37206">
        <w:t xml:space="preserve">As evidenced in the </w:t>
      </w:r>
      <w:hyperlink r:id="rId33" w:history="1">
        <w:r w:rsidR="00B37206" w:rsidRPr="00B37206">
          <w:rPr>
            <w:rStyle w:val="Hyperlink"/>
          </w:rPr>
          <w:t>microbiological risk profile</w:t>
        </w:r>
      </w:hyperlink>
      <w:r w:rsidR="00B37206">
        <w:t>, t</w:t>
      </w:r>
      <w:r>
        <w:t xml:space="preserve">hese businesses </w:t>
      </w:r>
      <w:r w:rsidR="00842F38">
        <w:t xml:space="preserve">only </w:t>
      </w:r>
      <w:r w:rsidR="00842F38" w:rsidRPr="00AB43FF">
        <w:t>ha</w:t>
      </w:r>
      <w:r w:rsidR="002F104E">
        <w:t>ve</w:t>
      </w:r>
      <w:r w:rsidR="00842F38" w:rsidRPr="00AB43FF">
        <w:t xml:space="preserve"> one food handling control</w:t>
      </w:r>
      <w:r w:rsidR="002F104E">
        <w:t>,</w:t>
      </w:r>
      <w:r w:rsidR="00842F38" w:rsidRPr="00AB43FF">
        <w:t xml:space="preserve"> which is not critical (maintain temperature during storage and display). There </w:t>
      </w:r>
      <w:r w:rsidR="00842F38">
        <w:t xml:space="preserve">is </w:t>
      </w:r>
      <w:r w:rsidR="00842F38" w:rsidRPr="00AB43FF">
        <w:t>no direct</w:t>
      </w:r>
      <w:r w:rsidR="0024700D">
        <w:t xml:space="preserve"> evidence</w:t>
      </w:r>
      <w:r w:rsidR="00842F38" w:rsidRPr="00AB43FF">
        <w:t xml:space="preserve"> </w:t>
      </w:r>
      <w:r w:rsidR="0024700D">
        <w:t>of</w:t>
      </w:r>
      <w:r w:rsidR="00842F38" w:rsidRPr="00AB43FF">
        <w:t xml:space="preserve"> foodborne illness link</w:t>
      </w:r>
      <w:r w:rsidR="0024700D">
        <w:t>ing</w:t>
      </w:r>
      <w:r w:rsidR="00842F38" w:rsidRPr="00AB43FF">
        <w:t xml:space="preserve"> outbreaks to </w:t>
      </w:r>
      <w:r w:rsidR="00842F38">
        <w:t>this setting</w:t>
      </w:r>
      <w:r w:rsidR="00842F38" w:rsidRPr="00AB43FF">
        <w:rPr>
          <w:rFonts w:cs="Arial"/>
          <w:szCs w:val="22"/>
          <w:lang w:val="en-AU"/>
        </w:rPr>
        <w:t xml:space="preserve">. </w:t>
      </w:r>
      <w:bookmarkStart w:id="112" w:name="_Toc104197749"/>
      <w:bookmarkStart w:id="113" w:name="_Toc104287978"/>
      <w:bookmarkStart w:id="114" w:name="_Toc104197750"/>
      <w:bookmarkStart w:id="115" w:name="_Toc104287979"/>
      <w:bookmarkStart w:id="116" w:name="_Toc104197751"/>
      <w:bookmarkStart w:id="117" w:name="_Toc104287980"/>
      <w:bookmarkEnd w:id="112"/>
      <w:bookmarkEnd w:id="113"/>
      <w:bookmarkEnd w:id="114"/>
      <w:bookmarkEnd w:id="115"/>
      <w:bookmarkEnd w:id="116"/>
      <w:bookmarkEnd w:id="117"/>
      <w:r w:rsidR="00B37206">
        <w:t>As summarised in the DRIS, this category did not meet our threshold for applying regulatory measures.</w:t>
      </w:r>
    </w:p>
    <w:p w14:paraId="7D2AAEE2" w14:textId="475DEEAE" w:rsidR="00C23067" w:rsidRPr="005D607A" w:rsidRDefault="00C23067" w:rsidP="0096592A">
      <w:pPr>
        <w:pStyle w:val="Heading3"/>
      </w:pPr>
      <w:bookmarkStart w:id="118" w:name="_Toc109300421"/>
      <w:r w:rsidRPr="005D607A">
        <w:t xml:space="preserve">Finalising </w:t>
      </w:r>
      <w:r w:rsidR="00CC044F" w:rsidRPr="00A644F1">
        <w:t>the risk management approach</w:t>
      </w:r>
      <w:bookmarkEnd w:id="118"/>
      <w:r w:rsidR="00CC044F" w:rsidRPr="00A644F1">
        <w:t xml:space="preserve"> </w:t>
      </w:r>
    </w:p>
    <w:p w14:paraId="3BE3A1EF" w14:textId="0BD44ED4" w:rsidR="00B42EBA" w:rsidRDefault="00870909" w:rsidP="0096592A">
      <w:pPr>
        <w:spacing w:after="240"/>
      </w:pPr>
      <w:r>
        <w:rPr>
          <w:lang w:eastAsia="en-AU" w:bidi="ar-SA"/>
        </w:rPr>
        <w:t>Our draft</w:t>
      </w:r>
      <w:r w:rsidR="009E19B6">
        <w:rPr>
          <w:lang w:eastAsia="en-AU" w:bidi="ar-SA"/>
        </w:rPr>
        <w:t>ed</w:t>
      </w:r>
      <w:r>
        <w:rPr>
          <w:lang w:eastAsia="en-AU" w:bidi="ar-SA"/>
        </w:rPr>
        <w:t xml:space="preserve"> regulatory measures were provided for public comment in the CFS. </w:t>
      </w:r>
      <w:r w:rsidR="00B42EBA">
        <w:rPr>
          <w:lang w:eastAsia="en-AU" w:bidi="ar-SA"/>
        </w:rPr>
        <w:t>Submissions received in response to that consultation presented diverse views, but were generally supportive. We reviewed each submission</w:t>
      </w:r>
      <w:r w:rsidR="00A644F1">
        <w:rPr>
          <w:lang w:eastAsia="en-AU" w:bidi="ar-SA"/>
        </w:rPr>
        <w:t xml:space="preserve"> </w:t>
      </w:r>
      <w:r w:rsidR="00B42EBA">
        <w:rPr>
          <w:lang w:eastAsia="en-AU" w:bidi="ar-SA"/>
        </w:rPr>
        <w:t xml:space="preserve">and revised some </w:t>
      </w:r>
      <w:r w:rsidR="00B42EBA" w:rsidRPr="00D92109">
        <w:t xml:space="preserve">inputs and assumptions to </w:t>
      </w:r>
      <w:r w:rsidR="009E19B6">
        <w:t>our</w:t>
      </w:r>
      <w:r w:rsidR="00B42EBA" w:rsidRPr="00D92109">
        <w:t xml:space="preserve"> regulatory impact analysis</w:t>
      </w:r>
      <w:r w:rsidR="00B42EBA">
        <w:t xml:space="preserve">. We also reconsidered aspects of the standard and whether further prescription </w:t>
      </w:r>
      <w:r w:rsidR="009E19B6">
        <w:t xml:space="preserve">(as requested by stakeholders) </w:t>
      </w:r>
      <w:r w:rsidR="00B42EBA">
        <w:t>was appropriate.</w:t>
      </w:r>
    </w:p>
    <w:p w14:paraId="415506F4" w14:textId="1A056709" w:rsidR="00C23067" w:rsidRPr="00A644F1" w:rsidRDefault="00430CA7" w:rsidP="0096592A">
      <w:pPr>
        <w:spacing w:after="240"/>
      </w:pPr>
      <w:r>
        <w:t xml:space="preserve">After careful consideration of all submissions, </w:t>
      </w:r>
      <w:r w:rsidR="00B42EBA">
        <w:t xml:space="preserve">FSANZ determined no changes were needed to the drafted standard. </w:t>
      </w:r>
      <w:bookmarkStart w:id="119" w:name="_Int_QQBJb9Zj"/>
      <w:r w:rsidR="00B42EBA">
        <w:t>Most</w:t>
      </w:r>
      <w:bookmarkEnd w:id="119"/>
      <w:r w:rsidR="00B42EBA">
        <w:t xml:space="preserve"> issues </w:t>
      </w:r>
      <w:r w:rsidR="00E8239F">
        <w:t xml:space="preserve">raised </w:t>
      </w:r>
      <w:r w:rsidR="00B42EBA">
        <w:t>related to implementation</w:t>
      </w:r>
      <w:r w:rsidR="00E8239F">
        <w:t xml:space="preserve"> matters</w:t>
      </w:r>
      <w:r w:rsidR="00B42EBA">
        <w:t xml:space="preserve">, which </w:t>
      </w:r>
      <w:r w:rsidR="00E8239F">
        <w:t xml:space="preserve">are the responsibility of jurisdictions. FSANZ considers further clarity </w:t>
      </w:r>
      <w:r w:rsidR="009E19B6">
        <w:t xml:space="preserve">and information </w:t>
      </w:r>
      <w:r w:rsidR="00E8239F">
        <w:t>can</w:t>
      </w:r>
      <w:r w:rsidR="00B42EBA">
        <w:t xml:space="preserve"> </w:t>
      </w:r>
      <w:r w:rsidR="00E8239F">
        <w:t>be provided</w:t>
      </w:r>
      <w:r w:rsidR="00B42EBA">
        <w:t xml:space="preserve"> through guidance and education. </w:t>
      </w:r>
      <w:r w:rsidR="00E8239F">
        <w:t xml:space="preserve">The approved draft standard strikes a balance </w:t>
      </w:r>
      <w:r w:rsidR="002739F9">
        <w:t>of enhanced</w:t>
      </w:r>
      <w:r w:rsidR="009E19B6">
        <w:t xml:space="preserve"> requirements</w:t>
      </w:r>
      <w:r w:rsidR="002739F9">
        <w:t>, without being overly prescriptive or burdensome</w:t>
      </w:r>
      <w:r w:rsidR="00E8239F">
        <w:t xml:space="preserve">. The </w:t>
      </w:r>
      <w:r w:rsidR="0077356B">
        <w:t xml:space="preserve">additional </w:t>
      </w:r>
      <w:r w:rsidR="009E19B6">
        <w:t xml:space="preserve">measures </w:t>
      </w:r>
      <w:r w:rsidR="00E8239F">
        <w:t>address identified food safety risks while enabling</w:t>
      </w:r>
      <w:r w:rsidR="002739F9">
        <w:t xml:space="preserve"> some flexibility in approach</w:t>
      </w:r>
      <w:r w:rsidR="00E8239F">
        <w:t>,</w:t>
      </w:r>
      <w:r w:rsidR="002739F9">
        <w:t xml:space="preserve"> considering the wide range of businesses in the </w:t>
      </w:r>
      <w:r w:rsidR="00E8239F">
        <w:t xml:space="preserve">food service </w:t>
      </w:r>
      <w:r w:rsidR="002739F9">
        <w:t>sectors</w:t>
      </w:r>
      <w:r w:rsidR="00E8239F">
        <w:t>.</w:t>
      </w:r>
    </w:p>
    <w:p w14:paraId="0152A1FF" w14:textId="087A2C78" w:rsidR="002C1A3B" w:rsidRDefault="002C1A3B" w:rsidP="0096592A">
      <w:pPr>
        <w:pStyle w:val="Heading2"/>
      </w:pPr>
      <w:bookmarkStart w:id="120" w:name="_Toc104197748"/>
      <w:bookmarkStart w:id="121" w:name="_Toc104287977"/>
      <w:bookmarkStart w:id="122" w:name="_Toc109300422"/>
      <w:bookmarkEnd w:id="120"/>
      <w:bookmarkEnd w:id="121"/>
      <w:r w:rsidRPr="008C301D">
        <w:t>Risk communication</w:t>
      </w:r>
      <w:bookmarkEnd w:id="66"/>
      <w:bookmarkEnd w:id="67"/>
      <w:bookmarkEnd w:id="122"/>
      <w:r w:rsidRPr="008C301D">
        <w:t xml:space="preserve"> </w:t>
      </w:r>
    </w:p>
    <w:p w14:paraId="4782136E" w14:textId="77777777" w:rsidR="00F54D82" w:rsidRDefault="00F54D82" w:rsidP="0096592A">
      <w:pPr>
        <w:spacing w:after="240"/>
        <w:rPr>
          <w:szCs w:val="22"/>
        </w:rPr>
      </w:pPr>
      <w:r w:rsidRPr="00174FBE">
        <w:rPr>
          <w:szCs w:val="22"/>
        </w:rPr>
        <w:t>Risk communication</w:t>
      </w:r>
      <w:r>
        <w:rPr>
          <w:szCs w:val="22"/>
        </w:rPr>
        <w:t xml:space="preserve">, particularly </w:t>
      </w:r>
      <w:r w:rsidRPr="00174FBE">
        <w:rPr>
          <w:szCs w:val="22"/>
        </w:rPr>
        <w:t>with external stakeholders</w:t>
      </w:r>
      <w:r>
        <w:rPr>
          <w:szCs w:val="22"/>
        </w:rPr>
        <w:t>,</w:t>
      </w:r>
      <w:r w:rsidRPr="00174FBE">
        <w:rPr>
          <w:szCs w:val="22"/>
        </w:rPr>
        <w:t xml:space="preserve"> </w:t>
      </w:r>
      <w:r>
        <w:rPr>
          <w:szCs w:val="22"/>
        </w:rPr>
        <w:t>is</w:t>
      </w:r>
      <w:r w:rsidRPr="00174FBE">
        <w:rPr>
          <w:szCs w:val="22"/>
        </w:rPr>
        <w:t xml:space="preserve"> essential to inform </w:t>
      </w:r>
      <w:r>
        <w:rPr>
          <w:szCs w:val="22"/>
        </w:rPr>
        <w:t>our</w:t>
      </w:r>
      <w:r w:rsidRPr="00174FBE">
        <w:rPr>
          <w:szCs w:val="22"/>
        </w:rPr>
        <w:t xml:space="preserve"> decision-making processes and </w:t>
      </w:r>
      <w:r>
        <w:rPr>
          <w:szCs w:val="22"/>
        </w:rPr>
        <w:t>ensure transparency in our standards development process</w:t>
      </w:r>
      <w:r w:rsidRPr="00174FBE">
        <w:rPr>
          <w:szCs w:val="22"/>
        </w:rPr>
        <w:t>.</w:t>
      </w:r>
      <w:r w:rsidRPr="00B84B80">
        <w:rPr>
          <w:szCs w:val="22"/>
        </w:rPr>
        <w:t xml:space="preserve"> </w:t>
      </w:r>
    </w:p>
    <w:p w14:paraId="29BEB477" w14:textId="518CBE2D" w:rsidR="00F54D82" w:rsidRDefault="00F54D82" w:rsidP="0096592A">
      <w:pPr>
        <w:spacing w:after="240"/>
      </w:pPr>
      <w:r>
        <w:t>We developed and implemented a communication strategy for this proposal to consult with targeted stakeholders as well as the public. We revised the strategy to account for engagement challenges during the COVID-19 pandemic.</w:t>
      </w:r>
    </w:p>
    <w:p w14:paraId="74FF9058" w14:textId="7034AEFB" w:rsidR="00842F38" w:rsidRDefault="00F54D82" w:rsidP="4BF32F5B">
      <w:pPr>
        <w:spacing w:after="240"/>
      </w:pPr>
      <w:r>
        <w:t>Consultation is a key part of FSANZ proposals.</w:t>
      </w:r>
      <w:r w:rsidR="4BF32F5B">
        <w:t xml:space="preserve"> </w:t>
      </w:r>
      <w:r w:rsidR="1C8394C5" w:rsidRPr="4BF32F5B">
        <w:rPr>
          <w:lang w:val="en-AU"/>
        </w:rPr>
        <w:t xml:space="preserve">Consultation activities on this project and the proposed tools have spanned many years and taken many forms </w:t>
      </w:r>
      <w:r w:rsidR="28FB8B03" w:rsidRPr="4BF32F5B">
        <w:rPr>
          <w:lang w:val="en-AU"/>
        </w:rPr>
        <w:t xml:space="preserve">(e.g. </w:t>
      </w:r>
      <w:r w:rsidR="6B589A21" w:rsidRPr="4BF32F5B">
        <w:rPr>
          <w:lang w:val="en-AU"/>
        </w:rPr>
        <w:t>discussion papers</w:t>
      </w:r>
      <w:r w:rsidR="28FB8B03">
        <w:t>, surveys, meetings, roadshows)</w:t>
      </w:r>
      <w:r w:rsidR="33852736">
        <w:t xml:space="preserve">. </w:t>
      </w:r>
      <w:r w:rsidR="1A2BD2DB">
        <w:t>FSANZ</w:t>
      </w:r>
      <w:r w:rsidR="33852736">
        <w:t xml:space="preserve"> built on previous consultation work by the FSMWG</w:t>
      </w:r>
      <w:r w:rsidR="28FB8B03" w:rsidRPr="4BF32F5B">
        <w:rPr>
          <w:lang w:val="en-AU"/>
        </w:rPr>
        <w:t xml:space="preserve"> </w:t>
      </w:r>
      <w:r w:rsidR="1C8394C5" w:rsidRPr="4BF32F5B">
        <w:rPr>
          <w:lang w:val="en-AU"/>
        </w:rPr>
        <w:lastRenderedPageBreak/>
        <w:t xml:space="preserve">to </w:t>
      </w:r>
      <w:r w:rsidR="28FB8B03" w:rsidRPr="4BF32F5B">
        <w:rPr>
          <w:lang w:val="en-AU"/>
        </w:rPr>
        <w:t>en</w:t>
      </w:r>
      <w:r w:rsidR="1C8394C5" w:rsidRPr="4BF32F5B">
        <w:rPr>
          <w:lang w:val="en-AU"/>
        </w:rPr>
        <w:t>sure all viable options have been considered.</w:t>
      </w:r>
    </w:p>
    <w:p w14:paraId="0B517FE0" w14:textId="05230018" w:rsidR="00842F38" w:rsidRPr="007A23E0" w:rsidRDefault="00F54D82" w:rsidP="0096592A">
      <w:pPr>
        <w:pStyle w:val="Heading3"/>
      </w:pPr>
      <w:bookmarkStart w:id="123" w:name="_Toc94172661"/>
      <w:bookmarkStart w:id="124" w:name="_Toc109300423"/>
      <w:r>
        <w:t>Public c</w:t>
      </w:r>
      <w:r w:rsidR="00842F38">
        <w:t>onsultation</w:t>
      </w:r>
      <w:bookmarkEnd w:id="123"/>
      <w:bookmarkEnd w:id="124"/>
    </w:p>
    <w:p w14:paraId="248C95F5" w14:textId="4C7B9D32" w:rsidR="00D757C2" w:rsidRDefault="00D757C2" w:rsidP="4BF32F5B">
      <w:pPr>
        <w:spacing w:after="240"/>
      </w:pPr>
      <w:r>
        <w:t>FSANZ’s</w:t>
      </w:r>
      <w:r w:rsidR="00CD60C4">
        <w:t xml:space="preserve"> </w:t>
      </w:r>
      <w:r w:rsidR="00F54D82">
        <w:t xml:space="preserve">public </w:t>
      </w:r>
      <w:r w:rsidR="00842F38">
        <w:t>consult</w:t>
      </w:r>
      <w:r w:rsidR="00CD60C4">
        <w:t>ations</w:t>
      </w:r>
      <w:r w:rsidR="00842F38">
        <w:t xml:space="preserve"> </w:t>
      </w:r>
      <w:r>
        <w:t xml:space="preserve">on P1053 </w:t>
      </w:r>
      <w:r w:rsidR="00842F38">
        <w:t>includ</w:t>
      </w:r>
      <w:r w:rsidR="00CD60C4">
        <w:t>ed</w:t>
      </w:r>
      <w:r>
        <w:t>:</w:t>
      </w:r>
      <w:r w:rsidR="00842F38">
        <w:t xml:space="preserve"> </w:t>
      </w:r>
    </w:p>
    <w:p w14:paraId="5AE808A7" w14:textId="7C96E30F" w:rsidR="00D757C2" w:rsidRDefault="004B6C70" w:rsidP="00614AF5">
      <w:pPr>
        <w:pStyle w:val="ListParagraph"/>
        <w:numPr>
          <w:ilvl w:val="0"/>
          <w:numId w:val="11"/>
        </w:numPr>
        <w:spacing w:after="240"/>
      </w:pPr>
      <w:r>
        <w:t>a</w:t>
      </w:r>
      <w:r w:rsidR="00842F38">
        <w:t xml:space="preserve"> public discussion paper</w:t>
      </w:r>
      <w:r w:rsidR="00D757C2">
        <w:t xml:space="preserve"> (</w:t>
      </w:r>
      <w:r>
        <w:t>February-</w:t>
      </w:r>
      <w:r w:rsidR="00D757C2" w:rsidRPr="00D757C2">
        <w:t>March 2020</w:t>
      </w:r>
      <w:r w:rsidR="00D757C2">
        <w:t>)</w:t>
      </w:r>
      <w:r w:rsidR="00293B14">
        <w:t xml:space="preserve"> </w:t>
      </w:r>
    </w:p>
    <w:p w14:paraId="5265700F" w14:textId="23AA6D80" w:rsidR="00D757C2" w:rsidRDefault="00842F38" w:rsidP="00614AF5">
      <w:pPr>
        <w:pStyle w:val="ListParagraph"/>
        <w:numPr>
          <w:ilvl w:val="0"/>
          <w:numId w:val="11"/>
        </w:numPr>
        <w:spacing w:after="240"/>
      </w:pPr>
      <w:r>
        <w:t xml:space="preserve">a </w:t>
      </w:r>
      <w:r w:rsidR="00D757C2">
        <w:t xml:space="preserve">targeted </w:t>
      </w:r>
      <w:r>
        <w:t>survey with food service businesses</w:t>
      </w:r>
      <w:r w:rsidR="00D757C2">
        <w:t xml:space="preserve"> (</w:t>
      </w:r>
      <w:r w:rsidR="00D757C2" w:rsidRPr="00D757C2">
        <w:t>November-December 2020</w:t>
      </w:r>
      <w:r w:rsidR="00D757C2">
        <w:t xml:space="preserve">) </w:t>
      </w:r>
    </w:p>
    <w:p w14:paraId="351D3029" w14:textId="7A14661D" w:rsidR="00D757C2" w:rsidRDefault="00293B14" w:rsidP="00614AF5">
      <w:pPr>
        <w:pStyle w:val="ListParagraph"/>
        <w:numPr>
          <w:ilvl w:val="0"/>
          <w:numId w:val="11"/>
        </w:numPr>
        <w:spacing w:after="240"/>
      </w:pPr>
      <w:r>
        <w:t xml:space="preserve">a </w:t>
      </w:r>
      <w:r w:rsidR="001309F9">
        <w:t>CFS</w:t>
      </w:r>
      <w:r w:rsidR="00D757C2">
        <w:t xml:space="preserve"> </w:t>
      </w:r>
      <w:r w:rsidR="002D4AF2">
        <w:t xml:space="preserve">report </w:t>
      </w:r>
      <w:r w:rsidR="00D757C2">
        <w:t xml:space="preserve">(February 2022) </w:t>
      </w:r>
      <w:r w:rsidR="002D4AF2">
        <w:t>on the propos</w:t>
      </w:r>
      <w:r w:rsidR="00F54D82">
        <w:t>al assessment</w:t>
      </w:r>
      <w:r w:rsidR="00D757C2">
        <w:t xml:space="preserve"> and</w:t>
      </w:r>
      <w:r w:rsidR="002D4AF2">
        <w:t xml:space="preserve"> draft s</w:t>
      </w:r>
      <w:r>
        <w:t>tandard</w:t>
      </w:r>
      <w:r w:rsidR="00003CCC">
        <w:t>, including a consultation RIS</w:t>
      </w:r>
    </w:p>
    <w:p w14:paraId="53D13361" w14:textId="2C625BBD" w:rsidR="00D757C2" w:rsidRDefault="00D757C2" w:rsidP="0096592A">
      <w:pPr>
        <w:spacing w:after="240"/>
      </w:pPr>
      <w:r w:rsidRPr="0016056E">
        <w:rPr>
          <w:rFonts w:cstheme="minorHAnsi"/>
        </w:rPr>
        <w:t xml:space="preserve">For further detail, see </w:t>
      </w:r>
      <w:r w:rsidRPr="00D757C2">
        <w:rPr>
          <w:rFonts w:cstheme="minorHAnsi"/>
        </w:rPr>
        <w:t>section 2.1</w:t>
      </w:r>
      <w:r w:rsidR="00003CCC">
        <w:rPr>
          <w:rFonts w:cstheme="minorHAnsi"/>
        </w:rPr>
        <w:t xml:space="preserve"> of this report</w:t>
      </w:r>
      <w:r w:rsidR="00842F38">
        <w:t xml:space="preserve">. </w:t>
      </w:r>
    </w:p>
    <w:p w14:paraId="46306CC2" w14:textId="283268C1" w:rsidR="006066D8" w:rsidRDefault="31DE223F" w:rsidP="0096592A">
      <w:pPr>
        <w:spacing w:after="240"/>
        <w:rPr>
          <w:rFonts w:cs="Arial"/>
          <w:color w:val="000000"/>
        </w:rPr>
      </w:pPr>
      <w:r w:rsidRPr="342FFC39">
        <w:rPr>
          <w:rFonts w:cs="Arial"/>
          <w:color w:val="000000" w:themeColor="text1"/>
        </w:rPr>
        <w:t xml:space="preserve">For the CFS, subscribers and interested parties were notified via the FSANZ Notification Circular, media release and through FSANZ’s social media tools and Food Standards News. </w:t>
      </w:r>
      <w:r w:rsidR="0A3D10B0">
        <w:t xml:space="preserve">The CFS was </w:t>
      </w:r>
      <w:r w:rsidR="680BE5C0">
        <w:t>open</w:t>
      </w:r>
      <w:r w:rsidR="0A3D10B0">
        <w:t xml:space="preserve"> for 8 weeks and received 44 submissions from</w:t>
      </w:r>
      <w:r w:rsidR="0A3D10B0" w:rsidRPr="342FFC39">
        <w:rPr>
          <w:lang w:val="en-AU"/>
        </w:rPr>
        <w:t xml:space="preserve"> state/territory and local governments, industry associations, advocacy groups and individual businesses (training and equipment providers). </w:t>
      </w:r>
      <w:r w:rsidR="33852736" w:rsidRPr="342FFC39">
        <w:rPr>
          <w:rFonts w:cs="Arial"/>
          <w:color w:val="000000" w:themeColor="text1"/>
        </w:rPr>
        <w:t xml:space="preserve">A summary of the issues raised in submissions to the CFS is provided in </w:t>
      </w:r>
      <w:r w:rsidRPr="342FFC39">
        <w:rPr>
          <w:rFonts w:cs="Arial"/>
          <w:color w:val="000000" w:themeColor="text1"/>
        </w:rPr>
        <w:t>Attachment </w:t>
      </w:r>
      <w:r w:rsidR="01E36515" w:rsidRPr="342FFC39">
        <w:rPr>
          <w:rFonts w:cs="Arial"/>
          <w:color w:val="000000" w:themeColor="text1"/>
        </w:rPr>
        <w:t>D</w:t>
      </w:r>
      <w:r w:rsidR="33852736" w:rsidRPr="342FFC39">
        <w:rPr>
          <w:rFonts w:cs="Arial"/>
          <w:color w:val="000000" w:themeColor="text1"/>
        </w:rPr>
        <w:t xml:space="preserve">. </w:t>
      </w:r>
    </w:p>
    <w:p w14:paraId="282FE3BB" w14:textId="1D11A569" w:rsidR="00842F38" w:rsidRDefault="006066D8" w:rsidP="0096592A">
      <w:pPr>
        <w:spacing w:after="240"/>
      </w:pPr>
      <w:r>
        <w:rPr>
          <w:rFonts w:cstheme="minorHAnsi"/>
        </w:rPr>
        <w:t xml:space="preserve">All survey responses and public submissions </w:t>
      </w:r>
      <w:r w:rsidRPr="002C1A3B">
        <w:rPr>
          <w:szCs w:val="22"/>
        </w:rPr>
        <w:t>on this</w:t>
      </w:r>
      <w:r w:rsidRPr="00A670A7">
        <w:rPr>
          <w:color w:val="00B050"/>
          <w:szCs w:val="22"/>
        </w:rPr>
        <w:t xml:space="preserve"> </w:t>
      </w:r>
      <w:r w:rsidRPr="00191F1B">
        <w:rPr>
          <w:szCs w:val="22"/>
        </w:rPr>
        <w:t>proposal</w:t>
      </w:r>
      <w:r>
        <w:rPr>
          <w:rFonts w:cstheme="minorHAnsi"/>
        </w:rPr>
        <w:t xml:space="preserve"> have been considered as part of our </w:t>
      </w:r>
      <w:r w:rsidRPr="00D757C2">
        <w:rPr>
          <w:rFonts w:cstheme="minorHAnsi"/>
        </w:rPr>
        <w:t>assessment.</w:t>
      </w:r>
      <w:r>
        <w:rPr>
          <w:rFonts w:cstheme="minorHAnsi"/>
        </w:rPr>
        <w:t xml:space="preserve"> </w:t>
      </w:r>
      <w:r w:rsidR="00F54D82" w:rsidRPr="002C1A3B">
        <w:rPr>
          <w:szCs w:val="22"/>
        </w:rPr>
        <w:t>FSANZ acknowledges the time taken by individuals and organisations to make submissions</w:t>
      </w:r>
      <w:r w:rsidR="00F54D82" w:rsidRPr="00191F1B">
        <w:rPr>
          <w:szCs w:val="22"/>
        </w:rPr>
        <w:t xml:space="preserve">. </w:t>
      </w:r>
      <w:r w:rsidR="00F54D82">
        <w:rPr>
          <w:szCs w:val="22"/>
        </w:rPr>
        <w:t>A</w:t>
      </w:r>
      <w:r w:rsidR="00F54D82" w:rsidRPr="002C1A3B">
        <w:rPr>
          <w:szCs w:val="22"/>
        </w:rPr>
        <w:t>ll comments are valued and contribute to the rigour of our assessment.</w:t>
      </w:r>
    </w:p>
    <w:p w14:paraId="2A8F591B" w14:textId="56F58354" w:rsidR="00F54D82" w:rsidRDefault="00F54D82" w:rsidP="0096592A">
      <w:pPr>
        <w:pStyle w:val="Heading3"/>
      </w:pPr>
      <w:bookmarkStart w:id="125" w:name="_Toc109300424"/>
      <w:r>
        <w:t>Working with regulators</w:t>
      </w:r>
      <w:bookmarkEnd w:id="125"/>
    </w:p>
    <w:p w14:paraId="7C9E1FE4" w14:textId="7DDE50E0" w:rsidR="00F54D82" w:rsidRDefault="00842F38" w:rsidP="0096592A">
      <w:pPr>
        <w:spacing w:after="240"/>
        <w:rPr>
          <w:rFonts w:cs="Arial"/>
          <w:lang w:eastAsia="en-GB"/>
        </w:rPr>
      </w:pPr>
      <w:r w:rsidRPr="000573F0">
        <w:rPr>
          <w:rFonts w:cs="Arial"/>
        </w:rPr>
        <w:t>FSANZ work</w:t>
      </w:r>
      <w:r>
        <w:rPr>
          <w:rFonts w:cs="Arial"/>
        </w:rPr>
        <w:t>ed closely</w:t>
      </w:r>
      <w:r w:rsidRPr="000573F0">
        <w:rPr>
          <w:rFonts w:cs="Arial"/>
        </w:rPr>
        <w:t xml:space="preserve"> with state</w:t>
      </w:r>
      <w:r>
        <w:rPr>
          <w:rFonts w:cs="Arial"/>
        </w:rPr>
        <w:t xml:space="preserve"> and territory food regulators</w:t>
      </w:r>
      <w:r w:rsidRPr="000573F0">
        <w:rPr>
          <w:rFonts w:cs="Arial"/>
        </w:rPr>
        <w:t xml:space="preserve"> to ensure the proposed </w:t>
      </w:r>
      <w:r>
        <w:rPr>
          <w:rFonts w:cs="Arial"/>
        </w:rPr>
        <w:t xml:space="preserve">measures </w:t>
      </w:r>
      <w:r w:rsidR="00430CA7">
        <w:rPr>
          <w:rFonts w:cs="Arial"/>
        </w:rPr>
        <w:t xml:space="preserve">– if approved by Ministers </w:t>
      </w:r>
      <w:r w:rsidR="0096592A">
        <w:rPr>
          <w:rFonts w:cs="Arial"/>
        </w:rPr>
        <w:t xml:space="preserve">– </w:t>
      </w:r>
      <w:r w:rsidR="00430CA7">
        <w:rPr>
          <w:rFonts w:cs="Arial"/>
        </w:rPr>
        <w:t>could</w:t>
      </w:r>
      <w:r w:rsidR="00430CA7" w:rsidRPr="000573F0">
        <w:rPr>
          <w:rFonts w:cs="Arial"/>
        </w:rPr>
        <w:t xml:space="preserve"> </w:t>
      </w:r>
      <w:r w:rsidRPr="000573F0">
        <w:rPr>
          <w:rFonts w:cs="Arial"/>
        </w:rPr>
        <w:t>be implemented in each jurisdiction.</w:t>
      </w:r>
      <w:r>
        <w:rPr>
          <w:rFonts w:cs="Arial"/>
        </w:rPr>
        <w:t xml:space="preserve"> </w:t>
      </w:r>
      <w:r w:rsidR="00372D0A">
        <w:rPr>
          <w:rFonts w:cs="Arial"/>
          <w:szCs w:val="22"/>
          <w:lang w:eastAsia="en-GB" w:bidi="ar-SA"/>
        </w:rPr>
        <w:t>The</w:t>
      </w:r>
      <w:r w:rsidR="00372D0A" w:rsidRPr="000129F6">
        <w:rPr>
          <w:rFonts w:cs="Arial"/>
          <w:szCs w:val="22"/>
          <w:lang w:eastAsia="en-GB" w:bidi="ar-SA"/>
        </w:rPr>
        <w:t xml:space="preserve"> </w:t>
      </w:r>
      <w:r w:rsidR="00372D0A">
        <w:t>Implementation Subcommittee on Food Regulation (ISFR</w:t>
      </w:r>
      <w:r w:rsidR="00372D0A" w:rsidRPr="000129F6">
        <w:rPr>
          <w:rFonts w:cs="Arial"/>
          <w:szCs w:val="22"/>
          <w:lang w:eastAsia="en-GB" w:bidi="ar-SA"/>
        </w:rPr>
        <w:t xml:space="preserve">) established </w:t>
      </w:r>
      <w:r w:rsidR="00381DDF">
        <w:rPr>
          <w:rFonts w:cs="Arial"/>
          <w:szCs w:val="22"/>
          <w:lang w:eastAsia="en-GB" w:bidi="ar-SA"/>
        </w:rPr>
        <w:t>an</w:t>
      </w:r>
      <w:r w:rsidR="00372D0A">
        <w:rPr>
          <w:rFonts w:cs="Arial"/>
          <w:szCs w:val="22"/>
          <w:lang w:eastAsia="en-GB" w:bidi="ar-SA"/>
        </w:rPr>
        <w:t xml:space="preserve"> </w:t>
      </w:r>
      <w:r w:rsidR="00372D0A">
        <w:t>Implementation Working Group</w:t>
      </w:r>
      <w:r w:rsidR="00372D0A">
        <w:rPr>
          <w:rFonts w:cs="Arial"/>
          <w:szCs w:val="22"/>
          <w:lang w:eastAsia="en-GB" w:bidi="ar-SA"/>
        </w:rPr>
        <w:t xml:space="preserve"> (IWG) </w:t>
      </w:r>
      <w:r w:rsidR="00372D0A" w:rsidRPr="000129F6">
        <w:rPr>
          <w:rFonts w:cs="Arial"/>
          <w:szCs w:val="22"/>
          <w:lang w:eastAsia="en-GB" w:bidi="ar-SA"/>
        </w:rPr>
        <w:t xml:space="preserve">to </w:t>
      </w:r>
      <w:r w:rsidR="00372D0A">
        <w:rPr>
          <w:rFonts w:cs="Arial"/>
          <w:szCs w:val="22"/>
          <w:lang w:eastAsia="en-GB" w:bidi="ar-SA"/>
        </w:rPr>
        <w:t xml:space="preserve">work with FSANZ </w:t>
      </w:r>
      <w:r w:rsidR="00381DDF">
        <w:rPr>
          <w:rFonts w:cs="Arial"/>
          <w:szCs w:val="22"/>
          <w:lang w:eastAsia="en-GB" w:bidi="ar-SA"/>
        </w:rPr>
        <w:t>throughout</w:t>
      </w:r>
      <w:r w:rsidR="00372D0A">
        <w:rPr>
          <w:rFonts w:cs="Arial"/>
          <w:szCs w:val="22"/>
          <w:lang w:eastAsia="en-GB" w:bidi="ar-SA"/>
        </w:rPr>
        <w:t xml:space="preserve"> the proposal,</w:t>
      </w:r>
      <w:r w:rsidR="00372D0A" w:rsidRPr="000D46E0">
        <w:rPr>
          <w:rFonts w:cs="Arial"/>
          <w:szCs w:val="22"/>
          <w:lang w:eastAsia="en-GB" w:bidi="ar-SA"/>
        </w:rPr>
        <w:t xml:space="preserve"> </w:t>
      </w:r>
      <w:r w:rsidR="00372D0A">
        <w:rPr>
          <w:rFonts w:cs="Arial"/>
          <w:szCs w:val="22"/>
          <w:lang w:eastAsia="en-GB" w:bidi="ar-SA"/>
        </w:rPr>
        <w:t xml:space="preserve">to </w:t>
      </w:r>
      <w:r w:rsidR="00372D0A" w:rsidRPr="000129F6">
        <w:rPr>
          <w:rFonts w:cs="Arial"/>
          <w:szCs w:val="22"/>
          <w:lang w:eastAsia="en-GB" w:bidi="ar-SA"/>
        </w:rPr>
        <w:t xml:space="preserve">ensure </w:t>
      </w:r>
      <w:r w:rsidR="00372D0A">
        <w:rPr>
          <w:rFonts w:cs="Arial"/>
          <w:szCs w:val="22"/>
          <w:lang w:eastAsia="en-GB" w:bidi="ar-SA"/>
        </w:rPr>
        <w:t xml:space="preserve">a </w:t>
      </w:r>
      <w:r w:rsidR="00372D0A" w:rsidRPr="000129F6">
        <w:rPr>
          <w:rFonts w:cs="Arial"/>
          <w:szCs w:val="22"/>
          <w:lang w:eastAsia="en-GB" w:bidi="ar-SA"/>
        </w:rPr>
        <w:t>consistent</w:t>
      </w:r>
      <w:r w:rsidR="00372D0A">
        <w:rPr>
          <w:rFonts w:cs="Arial"/>
          <w:szCs w:val="22"/>
          <w:lang w:eastAsia="en-GB" w:bidi="ar-SA"/>
        </w:rPr>
        <w:t xml:space="preserve"> approach to</w:t>
      </w:r>
      <w:r w:rsidR="00372D0A" w:rsidRPr="000129F6">
        <w:rPr>
          <w:rFonts w:cs="Arial"/>
          <w:szCs w:val="22"/>
          <w:lang w:eastAsia="en-GB" w:bidi="ar-SA"/>
        </w:rPr>
        <w:t xml:space="preserve"> any Code amendments.</w:t>
      </w:r>
      <w:r w:rsidR="00372D0A">
        <w:rPr>
          <w:rFonts w:cs="Arial"/>
          <w:szCs w:val="22"/>
          <w:lang w:eastAsia="en-GB" w:bidi="ar-SA"/>
        </w:rPr>
        <w:t xml:space="preserve"> </w:t>
      </w:r>
      <w:r w:rsidR="00372D0A">
        <w:rPr>
          <w:szCs w:val="22"/>
        </w:rPr>
        <w:t>This group includes re</w:t>
      </w:r>
      <w:r w:rsidR="00381DDF">
        <w:rPr>
          <w:szCs w:val="22"/>
        </w:rPr>
        <w:t>presentatives</w:t>
      </w:r>
      <w:r w:rsidR="00372D0A">
        <w:rPr>
          <w:szCs w:val="22"/>
        </w:rPr>
        <w:t xml:space="preserve"> from </w:t>
      </w:r>
      <w:r w:rsidR="00381DDF">
        <w:rPr>
          <w:szCs w:val="22"/>
        </w:rPr>
        <w:t>every</w:t>
      </w:r>
      <w:r w:rsidR="00372D0A">
        <w:rPr>
          <w:szCs w:val="22"/>
        </w:rPr>
        <w:t xml:space="preserve"> state and territory</w:t>
      </w:r>
      <w:r w:rsidR="00381DDF">
        <w:rPr>
          <w:szCs w:val="22"/>
        </w:rPr>
        <w:t xml:space="preserve"> health department</w:t>
      </w:r>
      <w:r w:rsidR="00372D0A">
        <w:rPr>
          <w:rFonts w:cs="Arial"/>
          <w:lang w:eastAsia="en-GB"/>
        </w:rPr>
        <w:t xml:space="preserve">. </w:t>
      </w:r>
    </w:p>
    <w:p w14:paraId="13CECCD7" w14:textId="0EFC84FC" w:rsidR="002C1A3B" w:rsidRDefault="002D4AF2" w:rsidP="0096592A">
      <w:pPr>
        <w:spacing w:after="240"/>
      </w:pPr>
      <w:r>
        <w:rPr>
          <w:rFonts w:cs="Arial"/>
        </w:rPr>
        <w:t xml:space="preserve">The IWG developed </w:t>
      </w:r>
      <w:r w:rsidR="00430CA7">
        <w:rPr>
          <w:rFonts w:cs="Arial"/>
        </w:rPr>
        <w:t xml:space="preserve">draft </w:t>
      </w:r>
      <w:r>
        <w:rPr>
          <w:rFonts w:cs="Arial"/>
        </w:rPr>
        <w:t xml:space="preserve">implementation guidance to indicate how the </w:t>
      </w:r>
      <w:r w:rsidR="00A644F1">
        <w:rPr>
          <w:rFonts w:cs="Arial"/>
        </w:rPr>
        <w:t>new requirements would be applied</w:t>
      </w:r>
      <w:r>
        <w:rPr>
          <w:rFonts w:cs="Arial"/>
        </w:rPr>
        <w:t xml:space="preserve"> in a practical sense, and </w:t>
      </w:r>
      <w:r w:rsidR="009A3844">
        <w:rPr>
          <w:rFonts w:cs="Arial"/>
        </w:rPr>
        <w:t>this guidance</w:t>
      </w:r>
      <w:r>
        <w:rPr>
          <w:rFonts w:cs="Arial"/>
        </w:rPr>
        <w:t xml:space="preserve"> </w:t>
      </w:r>
      <w:r w:rsidR="00414BDE">
        <w:rPr>
          <w:rFonts w:cs="Arial"/>
        </w:rPr>
        <w:t>w</w:t>
      </w:r>
      <w:r w:rsidR="009A3844">
        <w:rPr>
          <w:rFonts w:cs="Arial"/>
        </w:rPr>
        <w:t>as</w:t>
      </w:r>
      <w:r w:rsidR="00842F38">
        <w:rPr>
          <w:rFonts w:cs="Arial"/>
        </w:rPr>
        <w:t xml:space="preserve"> provided </w:t>
      </w:r>
      <w:r w:rsidR="009A3844">
        <w:rPr>
          <w:rFonts w:cs="Arial"/>
        </w:rPr>
        <w:t>in the CFS</w:t>
      </w:r>
      <w:r w:rsidR="008B6B1A" w:rsidRPr="008B6B1A">
        <w:rPr>
          <w:rFonts w:cs="Arial"/>
        </w:rPr>
        <w:t xml:space="preserve"> </w:t>
      </w:r>
      <w:r w:rsidR="008B6B1A">
        <w:rPr>
          <w:rFonts w:cs="Arial"/>
        </w:rPr>
        <w:t>for public comment</w:t>
      </w:r>
      <w:r w:rsidR="00842F38">
        <w:t xml:space="preserve">. </w:t>
      </w:r>
      <w:r w:rsidR="00F54D82">
        <w:t>The group will continue work on implementation matters during the transition period, should the draft approved standard be gazetted.</w:t>
      </w:r>
    </w:p>
    <w:p w14:paraId="32D80CE9" w14:textId="3E1EF787" w:rsidR="00B75EBF" w:rsidRPr="00B75EBF" w:rsidRDefault="00B75EBF" w:rsidP="00B75EBF">
      <w:pPr>
        <w:pStyle w:val="Heading3"/>
      </w:pPr>
      <w:bookmarkStart w:id="126" w:name="_Toc109300425"/>
      <w:r>
        <w:t xml:space="preserve">World Trade </w:t>
      </w:r>
      <w:r w:rsidR="000677F6">
        <w:t>O</w:t>
      </w:r>
      <w:r>
        <w:t>rganization</w:t>
      </w:r>
      <w:bookmarkEnd w:id="126"/>
      <w:r>
        <w:t xml:space="preserve"> </w:t>
      </w:r>
    </w:p>
    <w:p w14:paraId="70E7368D" w14:textId="77777777" w:rsidR="00B75EBF" w:rsidRDefault="00B75EBF" w:rsidP="00B75EBF">
      <w:r w:rsidRPr="00DC6570">
        <w:t>As members of the World Trade Organization (WTO), Australia and New Zealand are obliged to notify WTO member</w:t>
      </w:r>
      <w:r>
        <w:t>s</w:t>
      </w:r>
      <w:r w:rsidRPr="00DC6570">
        <w:t xml:space="preserve"> where proposed mandatory regulatory measures are inconsistent with any existing or imminent international standards and the proposed measure may have a significant effect on trade.</w:t>
      </w:r>
    </w:p>
    <w:p w14:paraId="7124A785" w14:textId="77777777" w:rsidR="00B75EBF" w:rsidRDefault="00B75EBF" w:rsidP="00B75EBF"/>
    <w:p w14:paraId="3A05D037" w14:textId="263B9387" w:rsidR="00B75EBF" w:rsidRPr="002C1A3B" w:rsidRDefault="00B75EBF" w:rsidP="00B75EBF">
      <w:pPr>
        <w:rPr>
          <w:szCs w:val="22"/>
        </w:rPr>
      </w:pPr>
      <w:r>
        <w:t xml:space="preserve">Amending the Code to require these food safety management tools in the food service and retail sectors is unlikely to have an impact on international trade as it applies only to Australian domestic food service sectors. </w:t>
      </w:r>
      <w:r>
        <w:rPr>
          <w:iCs/>
        </w:rPr>
        <w:t xml:space="preserve">Therefore, a notification to the WTO under </w:t>
      </w:r>
      <w:r>
        <w:t xml:space="preserve">Australia’s </w:t>
      </w:r>
      <w:r>
        <w:rPr>
          <w:iCs/>
        </w:rPr>
        <w:t>obligations under the WTO Application of Sanitary and Phytosanitary Measures Agreement was not considered necessary.</w:t>
      </w:r>
    </w:p>
    <w:p w14:paraId="3346C677" w14:textId="18BD9CBC" w:rsidR="002C1A3B" w:rsidRPr="002C1A3B" w:rsidRDefault="697EF049" w:rsidP="0096592A">
      <w:pPr>
        <w:pStyle w:val="Heading2"/>
      </w:pPr>
      <w:bookmarkStart w:id="127" w:name="_Toc370223477"/>
      <w:bookmarkStart w:id="128" w:name="_Toc370225392"/>
      <w:bookmarkStart w:id="129" w:name="_Toc109300426"/>
      <w:bookmarkStart w:id="130" w:name="_Toc309291816"/>
      <w:bookmarkStart w:id="131" w:name="_Toc300933448"/>
      <w:bookmarkStart w:id="132" w:name="_Toc300933577"/>
      <w:bookmarkStart w:id="133" w:name="_Toc301535601"/>
      <w:bookmarkStart w:id="134" w:name="_Toc309385464"/>
      <w:bookmarkStart w:id="135" w:name="_Toc175381456"/>
      <w:bookmarkEnd w:id="28"/>
      <w:bookmarkEnd w:id="29"/>
      <w:bookmarkEnd w:id="30"/>
      <w:bookmarkEnd w:id="31"/>
      <w:bookmarkEnd w:id="32"/>
      <w:bookmarkEnd w:id="33"/>
      <w:bookmarkEnd w:id="68"/>
      <w:r>
        <w:lastRenderedPageBreak/>
        <w:t>FSANZ Act assessment requirements</w:t>
      </w:r>
      <w:bookmarkEnd w:id="127"/>
      <w:bookmarkEnd w:id="128"/>
      <w:bookmarkEnd w:id="129"/>
    </w:p>
    <w:p w14:paraId="3D389CC5" w14:textId="0710C066" w:rsidR="002C1A3B" w:rsidRPr="00414BDE" w:rsidRDefault="002C1A3B" w:rsidP="0096592A">
      <w:pPr>
        <w:pStyle w:val="Heading3"/>
      </w:pPr>
      <w:bookmarkStart w:id="136" w:name="_Toc370223478"/>
      <w:bookmarkStart w:id="137" w:name="_Toc370225393"/>
      <w:bookmarkStart w:id="138" w:name="_Toc109300427"/>
      <w:bookmarkEnd w:id="130"/>
      <w:bookmarkEnd w:id="131"/>
      <w:bookmarkEnd w:id="132"/>
      <w:bookmarkEnd w:id="133"/>
      <w:bookmarkEnd w:id="134"/>
      <w:r w:rsidRPr="00414BDE">
        <w:t>Section 59</w:t>
      </w:r>
      <w:bookmarkEnd w:id="136"/>
      <w:bookmarkEnd w:id="137"/>
      <w:bookmarkEnd w:id="138"/>
    </w:p>
    <w:p w14:paraId="28B1BC3C" w14:textId="5B4F8CFB" w:rsidR="00414BDE" w:rsidRPr="00414BDE" w:rsidRDefault="00414BDE" w:rsidP="0096592A">
      <w:pPr>
        <w:keepNext/>
        <w:spacing w:after="240"/>
      </w:pPr>
      <w:r w:rsidRPr="00744353">
        <w:t xml:space="preserve">When assessing this </w:t>
      </w:r>
      <w:r>
        <w:t>p</w:t>
      </w:r>
      <w:r w:rsidRPr="00744353">
        <w:t>roposal and the subsequent development of food regulatory measure</w:t>
      </w:r>
      <w:r>
        <w:t>s</w:t>
      </w:r>
      <w:r w:rsidRPr="00744353">
        <w:t xml:space="preserve">, FSANZ had regard to the </w:t>
      </w:r>
      <w:r w:rsidRPr="00744353" w:rsidDel="00932F14">
        <w:t xml:space="preserve">following </w:t>
      </w:r>
      <w:r w:rsidRPr="00CC044F">
        <w:t>matters in sections 59 and 18 of the FSANZ</w:t>
      </w:r>
      <w:r>
        <w:t xml:space="preserve"> Act:</w:t>
      </w:r>
    </w:p>
    <w:p w14:paraId="3FE30DBB" w14:textId="4AA85E7C" w:rsidR="002C1A3B" w:rsidRPr="002C1A3B" w:rsidRDefault="00BF45A3" w:rsidP="0096592A">
      <w:pPr>
        <w:pStyle w:val="Heading4"/>
      </w:pPr>
      <w:r>
        <w:t>Consideration of costs and</w:t>
      </w:r>
      <w:r w:rsidR="002C1A3B" w:rsidRPr="002C1A3B">
        <w:t xml:space="preserve"> benefit</w:t>
      </w:r>
      <w:r>
        <w:t>s</w:t>
      </w:r>
    </w:p>
    <w:p w14:paraId="04928273" w14:textId="004B3A5F" w:rsidR="002C1A3B" w:rsidRPr="002C1A3B" w:rsidRDefault="0099623A" w:rsidP="0096592A">
      <w:pPr>
        <w:spacing w:after="240"/>
      </w:pPr>
      <w:r>
        <w:t xml:space="preserve">The direct and indirect benefits </w:t>
      </w:r>
      <w:r w:rsidRPr="00914030">
        <w:t xml:space="preserve">that would arise from a food regulatory measure developed or varied as a result of the </w:t>
      </w:r>
      <w:r w:rsidRPr="00414BDE">
        <w:t xml:space="preserve">proposal </w:t>
      </w:r>
      <w:r w:rsidRPr="00914030">
        <w:t xml:space="preserve">outweigh the </w:t>
      </w:r>
      <w:r>
        <w:t>costs</w:t>
      </w:r>
      <w:r w:rsidRPr="00914030">
        <w:t xml:space="preserve"> to the community, Government or industry that would arise from the development or variation</w:t>
      </w:r>
      <w:r>
        <w:t xml:space="preserve"> of the food regulatory measure.</w:t>
      </w:r>
    </w:p>
    <w:p w14:paraId="340995AB" w14:textId="69CC2DED" w:rsidR="00414BDE" w:rsidRPr="007A23E0" w:rsidRDefault="00414BDE" w:rsidP="0096592A">
      <w:pPr>
        <w:spacing w:after="240"/>
      </w:pPr>
      <w:r>
        <w:t xml:space="preserve">A </w:t>
      </w:r>
      <w:r w:rsidR="00D349E5">
        <w:t xml:space="preserve">decision </w:t>
      </w:r>
      <w:r>
        <w:t>Regulatory Impact Statement (</w:t>
      </w:r>
      <w:hyperlink w:anchor="_Attachment_C_–" w:history="1">
        <w:r w:rsidR="00D349E5" w:rsidRPr="006B11F0">
          <w:rPr>
            <w:rStyle w:val="Hyperlink"/>
          </w:rPr>
          <w:t xml:space="preserve">DRIS - Attachment </w:t>
        </w:r>
        <w:r w:rsidR="005E6A98" w:rsidRPr="006B11F0">
          <w:rPr>
            <w:rStyle w:val="Hyperlink"/>
          </w:rPr>
          <w:t>C</w:t>
        </w:r>
      </w:hyperlink>
      <w:r>
        <w:t xml:space="preserve">) was developed and approved by the Office of Best Practice Regulation (OBPR) </w:t>
      </w:r>
      <w:r w:rsidR="004B6C70">
        <w:t>in June 2022</w:t>
      </w:r>
      <w:r w:rsidR="008B6B1A">
        <w:t xml:space="preserve"> (ID number </w:t>
      </w:r>
      <w:r w:rsidR="005B1D89">
        <w:t>OBPR21- 01217</w:t>
      </w:r>
      <w:r w:rsidR="008B6B1A">
        <w:t>)</w:t>
      </w:r>
      <w:r>
        <w:t>. It provides quantitative cost</w:t>
      </w:r>
      <w:r w:rsidR="00941144">
        <w:t>-</w:t>
      </w:r>
      <w:r>
        <w:t xml:space="preserve">benefit analysis </w:t>
      </w:r>
      <w:bookmarkStart w:id="139" w:name="_Int_CLaJJLrg"/>
      <w:r>
        <w:t>and</w:t>
      </w:r>
      <w:bookmarkEnd w:id="139"/>
      <w:r>
        <w:t xml:space="preserve"> considers qualitative evidence using the information available to FSANZ. </w:t>
      </w:r>
    </w:p>
    <w:p w14:paraId="5399A156" w14:textId="29B5ED16" w:rsidR="00414BDE" w:rsidRDefault="00414BDE" w:rsidP="0096592A">
      <w:pPr>
        <w:spacing w:after="240"/>
      </w:pPr>
      <w:r>
        <w:t>FSANZ considered several risk management options, including the status quo, self-regulation and the introduction of regulatory requirements. Assumptions that underpin our cost</w:t>
      </w:r>
      <w:r w:rsidR="00B86CDE">
        <w:t>-</w:t>
      </w:r>
      <w:r>
        <w:t xml:space="preserve">benefit analysis were outlined and consulted on in the Consultation RIS (CRIS) and confirmed in the </w:t>
      </w:r>
      <w:r w:rsidR="00D349E5">
        <w:t>D</w:t>
      </w:r>
      <w:r>
        <w:t>RIS. The outcomes of the cost</w:t>
      </w:r>
      <w:r w:rsidR="00B86CDE">
        <w:t>-</w:t>
      </w:r>
      <w:r>
        <w:t xml:space="preserve">benefit analysis indicate that applying food regulatory measures in a </w:t>
      </w:r>
      <w:r w:rsidR="005B1D89">
        <w:t xml:space="preserve">graduated </w:t>
      </w:r>
      <w:r>
        <w:t>approach based on food safety risk would provide a net benefit.</w:t>
      </w:r>
    </w:p>
    <w:p w14:paraId="73199320" w14:textId="3CD285F1" w:rsidR="00414BDE" w:rsidRDefault="00414BDE" w:rsidP="0096592A">
      <w:pPr>
        <w:spacing w:after="240"/>
      </w:pPr>
      <w:r>
        <w:t>Any additional regulation is likely to impact food businesses, consumers and governments, as listed in Table 5 below.</w:t>
      </w:r>
    </w:p>
    <w:p w14:paraId="0340F6AE" w14:textId="55E49E03" w:rsidR="00414BDE" w:rsidRDefault="00414BDE" w:rsidP="00414BDE">
      <w:pPr>
        <w:pStyle w:val="Caption"/>
        <w:keepNext/>
        <w:rPr>
          <w:b/>
          <w:color w:val="auto"/>
        </w:rPr>
      </w:pPr>
      <w:r w:rsidRPr="00C439D2">
        <w:rPr>
          <w:b/>
          <w:color w:val="auto"/>
        </w:rPr>
        <w:t xml:space="preserve">Table </w:t>
      </w:r>
      <w:r w:rsidRPr="00C439D2">
        <w:rPr>
          <w:b/>
          <w:color w:val="auto"/>
        </w:rPr>
        <w:fldChar w:fldCharType="begin"/>
      </w:r>
      <w:r w:rsidRPr="00C439D2">
        <w:rPr>
          <w:b/>
          <w:color w:val="auto"/>
        </w:rPr>
        <w:instrText xml:space="preserve"> SEQ Table \* ARABIC </w:instrText>
      </w:r>
      <w:r w:rsidRPr="00C439D2">
        <w:rPr>
          <w:b/>
          <w:color w:val="auto"/>
        </w:rPr>
        <w:fldChar w:fldCharType="separate"/>
      </w:r>
      <w:r w:rsidRPr="00C439D2">
        <w:rPr>
          <w:b/>
          <w:noProof/>
          <w:color w:val="auto"/>
        </w:rPr>
        <w:t>5</w:t>
      </w:r>
      <w:r w:rsidRPr="00C439D2">
        <w:rPr>
          <w:b/>
          <w:color w:val="auto"/>
        </w:rPr>
        <w:fldChar w:fldCharType="end"/>
      </w:r>
      <w:r w:rsidRPr="00C439D2">
        <w:rPr>
          <w:b/>
          <w:color w:val="auto"/>
        </w:rPr>
        <w:t>: Impacts on affected parties</w:t>
      </w:r>
    </w:p>
    <w:tbl>
      <w:tblPr>
        <w:tblStyle w:val="GridTable1Light"/>
        <w:tblW w:w="0" w:type="auto"/>
        <w:tblLook w:val="04A0" w:firstRow="1" w:lastRow="0" w:firstColumn="1" w:lastColumn="0" w:noHBand="0" w:noVBand="1"/>
      </w:tblPr>
      <w:tblGrid>
        <w:gridCol w:w="2694"/>
        <w:gridCol w:w="6083"/>
      </w:tblGrid>
      <w:tr w:rsidR="00FA1FA0" w:rsidRPr="00103604" w14:paraId="59367BB7" w14:textId="77777777" w:rsidTr="00DE0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9CCE3AC" w14:textId="77777777" w:rsidR="00FA1FA0" w:rsidRPr="00103604" w:rsidRDefault="00FA1FA0" w:rsidP="005E10AA">
            <w:r w:rsidRPr="00103604">
              <w:t xml:space="preserve">Social group </w:t>
            </w:r>
          </w:p>
        </w:tc>
        <w:tc>
          <w:tcPr>
            <w:tcW w:w="6083" w:type="dxa"/>
          </w:tcPr>
          <w:p w14:paraId="24472A82" w14:textId="77777777" w:rsidR="00FA1FA0" w:rsidRPr="00103604" w:rsidRDefault="00FA1FA0" w:rsidP="005E10AA">
            <w:pPr>
              <w:ind w:firstLine="127"/>
              <w:cnfStyle w:val="100000000000" w:firstRow="1" w:lastRow="0" w:firstColumn="0" w:lastColumn="0" w:oddVBand="0" w:evenVBand="0" w:oddHBand="0" w:evenHBand="0" w:firstRowFirstColumn="0" w:firstRowLastColumn="0" w:lastRowFirstColumn="0" w:lastRowLastColumn="0"/>
            </w:pPr>
            <w:r w:rsidRPr="00103604">
              <w:t>Notes on impacts</w:t>
            </w:r>
          </w:p>
        </w:tc>
      </w:tr>
      <w:tr w:rsidR="00FA1FA0" w:rsidRPr="00103604" w14:paraId="698F89C3" w14:textId="77777777" w:rsidTr="00DE0E16">
        <w:tc>
          <w:tcPr>
            <w:cnfStyle w:val="001000000000" w:firstRow="0" w:lastRow="0" w:firstColumn="1" w:lastColumn="0" w:oddVBand="0" w:evenVBand="0" w:oddHBand="0" w:evenHBand="0" w:firstRowFirstColumn="0" w:firstRowLastColumn="0" w:lastRowFirstColumn="0" w:lastRowLastColumn="0"/>
            <w:tcW w:w="2694" w:type="dxa"/>
          </w:tcPr>
          <w:p w14:paraId="1A35080E" w14:textId="77777777" w:rsidR="00FA1FA0" w:rsidRPr="00103604" w:rsidRDefault="00FA1FA0" w:rsidP="005E10AA">
            <w:pPr>
              <w:rPr>
                <w:b w:val="0"/>
              </w:rPr>
            </w:pPr>
            <w:r w:rsidRPr="00103604">
              <w:rPr>
                <w:b w:val="0"/>
              </w:rPr>
              <w:t xml:space="preserve">1. </w:t>
            </w:r>
            <w:r>
              <w:rPr>
                <w:b w:val="0"/>
              </w:rPr>
              <w:t>Food businesses</w:t>
            </w:r>
          </w:p>
          <w:p w14:paraId="7F82BC20" w14:textId="77777777" w:rsidR="00FA1FA0" w:rsidRPr="00103604" w:rsidRDefault="00FA1FA0" w:rsidP="005E10AA">
            <w:pPr>
              <w:rPr>
                <w:b w:val="0"/>
                <w:caps/>
              </w:rPr>
            </w:pPr>
          </w:p>
        </w:tc>
        <w:tc>
          <w:tcPr>
            <w:tcW w:w="6083" w:type="dxa"/>
          </w:tcPr>
          <w:p w14:paraId="55781CEC" w14:textId="5E88C1F5"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 xml:space="preserve">Potentially increased </w:t>
            </w:r>
            <w:r>
              <w:t>operational</w:t>
            </w:r>
            <w:r w:rsidRPr="00103604">
              <w:t xml:space="preserve"> costs</w:t>
            </w:r>
          </w:p>
          <w:p w14:paraId="7BFA68F7" w14:textId="5E88C1F5"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Cost savings from a r</w:t>
            </w:r>
            <w:r w:rsidRPr="00103604">
              <w:t>educ</w:t>
            </w:r>
            <w:r>
              <w:t>ed</w:t>
            </w:r>
            <w:r w:rsidRPr="00103604">
              <w:t xml:space="preserve"> risk of a food safety incident</w:t>
            </w:r>
          </w:p>
          <w:p w14:paraId="5099C6C3" w14:textId="5E88C1F5"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Improved </w:t>
            </w:r>
            <w:r w:rsidDel="00722E1C">
              <w:t>capacity</w:t>
            </w:r>
            <w:r>
              <w:t xml:space="preserve"> to effectively and efficiently manage and respond to a food safety incident, reducing costs</w:t>
            </w:r>
          </w:p>
          <w:p w14:paraId="366B0A92" w14:textId="5E88C1F5"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Potential</w:t>
            </w:r>
            <w:r>
              <w:t>ly</w:t>
            </w:r>
            <w:r w:rsidRPr="00103604">
              <w:t xml:space="preserve"> ad</w:t>
            </w:r>
            <w:r>
              <w:t>ditional sales given higher quality food</w:t>
            </w:r>
          </w:p>
          <w:p w14:paraId="438153D0" w14:textId="5E88C1F5" w:rsidR="00FA1FA0"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Reduced risks of market damage caused by others</w:t>
            </w:r>
          </w:p>
          <w:p w14:paraId="5379250F" w14:textId="5E88C1F5"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Harmonised national regulation reduces costs for businesses that operate across multiple jurisdictions.</w:t>
            </w:r>
            <w:r w:rsidRPr="00103604">
              <w:t xml:space="preserve"> </w:t>
            </w:r>
          </w:p>
        </w:tc>
      </w:tr>
      <w:tr w:rsidR="00FA1FA0" w:rsidRPr="00103604" w14:paraId="4E4D7F2B" w14:textId="77777777" w:rsidTr="00DE0E16">
        <w:tc>
          <w:tcPr>
            <w:cnfStyle w:val="001000000000" w:firstRow="0" w:lastRow="0" w:firstColumn="1" w:lastColumn="0" w:oddVBand="0" w:evenVBand="0" w:oddHBand="0" w:evenHBand="0" w:firstRowFirstColumn="0" w:firstRowLastColumn="0" w:lastRowFirstColumn="0" w:lastRowLastColumn="0"/>
            <w:tcW w:w="2694" w:type="dxa"/>
          </w:tcPr>
          <w:p w14:paraId="42A4EB76" w14:textId="77777777" w:rsidR="00FA1FA0" w:rsidRPr="00103604" w:rsidRDefault="00FA1FA0" w:rsidP="005E10AA">
            <w:pPr>
              <w:rPr>
                <w:b w:val="0"/>
              </w:rPr>
            </w:pPr>
            <w:r>
              <w:rPr>
                <w:b w:val="0"/>
              </w:rPr>
              <w:t>2</w:t>
            </w:r>
            <w:r w:rsidRPr="00103604">
              <w:rPr>
                <w:b w:val="0"/>
              </w:rPr>
              <w:t>. Food consumers</w:t>
            </w:r>
          </w:p>
        </w:tc>
        <w:tc>
          <w:tcPr>
            <w:tcW w:w="6083" w:type="dxa"/>
          </w:tcPr>
          <w:p w14:paraId="4BE9DDBE" w14:textId="77777777"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Improved safety of products reduc</w:t>
            </w:r>
            <w:r>
              <w:t>ing</w:t>
            </w:r>
            <w:r w:rsidRPr="00103604">
              <w:t xml:space="preserve"> likelihood of illness</w:t>
            </w:r>
          </w:p>
          <w:p w14:paraId="65EC8DA0" w14:textId="77777777" w:rsidR="00FA1FA0"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Potential</w:t>
            </w:r>
            <w:r>
              <w:t>ly</w:t>
            </w:r>
            <w:r w:rsidRPr="00103604">
              <w:t xml:space="preserve"> increased costs of purchase</w:t>
            </w:r>
          </w:p>
          <w:p w14:paraId="3F021787" w14:textId="77777777"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Potentially higher quality food available</w:t>
            </w:r>
          </w:p>
        </w:tc>
      </w:tr>
      <w:tr w:rsidR="00FA1FA0" w:rsidRPr="00103604" w14:paraId="584FD225" w14:textId="77777777" w:rsidTr="00DE0E16">
        <w:tc>
          <w:tcPr>
            <w:cnfStyle w:val="001000000000" w:firstRow="0" w:lastRow="0" w:firstColumn="1" w:lastColumn="0" w:oddVBand="0" w:evenVBand="0" w:oddHBand="0" w:evenHBand="0" w:firstRowFirstColumn="0" w:firstRowLastColumn="0" w:lastRowFirstColumn="0" w:lastRowLastColumn="0"/>
            <w:tcW w:w="2694" w:type="dxa"/>
          </w:tcPr>
          <w:p w14:paraId="0E146865" w14:textId="77777777" w:rsidR="00FA1FA0" w:rsidRPr="00103604" w:rsidRDefault="00FA1FA0" w:rsidP="005E10AA">
            <w:pPr>
              <w:rPr>
                <w:b w:val="0"/>
              </w:rPr>
            </w:pPr>
            <w:r>
              <w:rPr>
                <w:b w:val="0"/>
              </w:rPr>
              <w:t>3</w:t>
            </w:r>
            <w:r w:rsidRPr="00103604">
              <w:rPr>
                <w:b w:val="0"/>
              </w:rPr>
              <w:t>. Government</w:t>
            </w:r>
          </w:p>
        </w:tc>
        <w:tc>
          <w:tcPr>
            <w:tcW w:w="6083" w:type="dxa"/>
          </w:tcPr>
          <w:p w14:paraId="3FF5A104" w14:textId="77777777"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Potentially increased </w:t>
            </w:r>
            <w:r w:rsidRPr="00103604">
              <w:t>implementation and enforcement cost</w:t>
            </w:r>
            <w:r>
              <w:t>s for</w:t>
            </w:r>
            <w:r w:rsidRPr="00103604">
              <w:t xml:space="preserve"> new regulation</w:t>
            </w:r>
            <w:r>
              <w:t xml:space="preserve"> </w:t>
            </w:r>
          </w:p>
          <w:p w14:paraId="4D2EE461" w14:textId="77777777"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Improved </w:t>
            </w:r>
            <w:r w:rsidDel="00722E1C">
              <w:t>capacity</w:t>
            </w:r>
            <w:r>
              <w:t xml:space="preserve"> to effectively and efficiently manage a food safety incident, reducing costs</w:t>
            </w:r>
          </w:p>
          <w:p w14:paraId="1AFC337C" w14:textId="77777777" w:rsidR="00FA1FA0" w:rsidRPr="00103604" w:rsidRDefault="00FA1FA0"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Savings in health care expenditure</w:t>
            </w:r>
          </w:p>
        </w:tc>
      </w:tr>
    </w:tbl>
    <w:p w14:paraId="50C18B0B" w14:textId="7C842F6A" w:rsidR="002C1A3B" w:rsidRPr="002C1A3B" w:rsidRDefault="002C1A3B" w:rsidP="0096592A">
      <w:pPr>
        <w:pStyle w:val="Heading4"/>
      </w:pPr>
      <w:r w:rsidRPr="002C1A3B">
        <w:t>Other measures</w:t>
      </w:r>
    </w:p>
    <w:p w14:paraId="0CFBE217" w14:textId="77777777" w:rsidR="009820AA" w:rsidRDefault="6A9B6DF6" w:rsidP="2DD51A17">
      <w:pPr>
        <w:spacing w:after="240"/>
      </w:pPr>
      <w:r>
        <w:t xml:space="preserve">FSANZ considered whether </w:t>
      </w:r>
      <w:r w:rsidR="002C1A3B">
        <w:t xml:space="preserve"> other measures ( available to FSANZ or not) would be more cost-effective than a food regulatory measure developed or varied as a result of the </w:t>
      </w:r>
      <w:r w:rsidR="00191F1B">
        <w:t>p</w:t>
      </w:r>
      <w:r w:rsidR="002C1A3B">
        <w:t>roposal.</w:t>
      </w:r>
      <w:r w:rsidR="00414BDE">
        <w:t xml:space="preserve"> Our assessment of all potential options is provided in the DRIS</w:t>
      </w:r>
      <w:r w:rsidR="00D349E5">
        <w:t xml:space="preserve"> (</w:t>
      </w:r>
      <w:hyperlink w:anchor="_Attachment_C_–">
        <w:r w:rsidR="00D349E5" w:rsidRPr="41A205BE">
          <w:rPr>
            <w:rStyle w:val="Hyperlink"/>
          </w:rPr>
          <w:t xml:space="preserve">Attachment </w:t>
        </w:r>
        <w:r w:rsidR="001B4D0A" w:rsidRPr="41A205BE">
          <w:rPr>
            <w:rStyle w:val="Hyperlink"/>
          </w:rPr>
          <w:t>C</w:t>
        </w:r>
      </w:hyperlink>
      <w:r w:rsidR="00D349E5">
        <w:t>)</w:t>
      </w:r>
      <w:r w:rsidR="00414BDE">
        <w:t>.</w:t>
      </w:r>
      <w:r w:rsidR="4A0CC7BA">
        <w:t xml:space="preserve"> </w:t>
      </w:r>
    </w:p>
    <w:p w14:paraId="7FA059F4" w14:textId="0BA3262A" w:rsidR="00414BDE" w:rsidRPr="00414BDE" w:rsidRDefault="56730ED4" w:rsidP="2DD51A17">
      <w:pPr>
        <w:spacing w:after="240"/>
        <w:rPr>
          <w:rFonts w:eastAsia="Arial" w:cs="Arial"/>
          <w:szCs w:val="22"/>
        </w:rPr>
      </w:pPr>
      <w:r>
        <w:lastRenderedPageBreak/>
        <w:t>F</w:t>
      </w:r>
      <w:r w:rsidR="4A0CC7BA">
        <w:t>or category one and category two businesses, our assessment was that</w:t>
      </w:r>
      <w:r w:rsidR="1BA28AD1">
        <w:t xml:space="preserve"> food regulatory measures</w:t>
      </w:r>
      <w:r w:rsidR="4A0CC7BA" w:rsidRPr="41A205BE">
        <w:rPr>
          <w:rFonts w:eastAsia="Arial" w:cs="Arial"/>
          <w:szCs w:val="22"/>
        </w:rPr>
        <w:t xml:space="preserve"> combined with non-regulatory measures </w:t>
      </w:r>
      <w:r w:rsidR="4A3C993A" w:rsidRPr="41A205BE">
        <w:rPr>
          <w:rFonts w:eastAsia="Arial" w:cs="Arial"/>
          <w:szCs w:val="22"/>
        </w:rPr>
        <w:t xml:space="preserve">was </w:t>
      </w:r>
      <w:r w:rsidR="50ABDABE" w:rsidRPr="41A205BE">
        <w:rPr>
          <w:rFonts w:eastAsia="Arial" w:cs="Arial"/>
          <w:szCs w:val="22"/>
        </w:rPr>
        <w:t>the preferred</w:t>
      </w:r>
      <w:r w:rsidR="0DEE1B76" w:rsidRPr="41A205BE">
        <w:rPr>
          <w:rFonts w:eastAsia="Arial" w:cs="Arial"/>
          <w:szCs w:val="22"/>
        </w:rPr>
        <w:t xml:space="preserve"> option. For category three businesses, our assessment found that non-regulatory measures </w:t>
      </w:r>
      <w:r w:rsidR="2841F41D" w:rsidRPr="41A205BE">
        <w:rPr>
          <w:rFonts w:eastAsia="Arial" w:cs="Arial"/>
          <w:szCs w:val="22"/>
        </w:rPr>
        <w:t>were</w:t>
      </w:r>
      <w:r w:rsidR="0DEE1B76" w:rsidRPr="41A205BE">
        <w:rPr>
          <w:rFonts w:eastAsia="Arial" w:cs="Arial"/>
          <w:szCs w:val="22"/>
        </w:rPr>
        <w:t xml:space="preserve"> the most </w:t>
      </w:r>
      <w:r w:rsidR="2A6CD819" w:rsidRPr="41A205BE">
        <w:rPr>
          <w:rFonts w:eastAsia="Arial" w:cs="Arial"/>
          <w:szCs w:val="22"/>
        </w:rPr>
        <w:t>appropriate</w:t>
      </w:r>
      <w:r w:rsidR="0DEE1B76" w:rsidRPr="41A205BE">
        <w:rPr>
          <w:rFonts w:eastAsia="Arial" w:cs="Arial"/>
          <w:szCs w:val="22"/>
        </w:rPr>
        <w:t xml:space="preserve"> option</w:t>
      </w:r>
      <w:r w:rsidR="0756D606" w:rsidRPr="41A205BE">
        <w:rPr>
          <w:rFonts w:eastAsia="Arial" w:cs="Arial"/>
          <w:szCs w:val="22"/>
        </w:rPr>
        <w:t xml:space="preserve"> based on risk and </w:t>
      </w:r>
      <w:r w:rsidR="41724581" w:rsidRPr="41A205BE">
        <w:rPr>
          <w:rFonts w:eastAsia="Arial" w:cs="Arial"/>
          <w:color w:val="000000" w:themeColor="text1"/>
          <w:szCs w:val="22"/>
        </w:rPr>
        <w:t>little evidence of associated foodborne illness in Australia</w:t>
      </w:r>
      <w:r w:rsidR="4A0CC7BA" w:rsidRPr="41A205BE">
        <w:rPr>
          <w:rFonts w:eastAsia="Arial" w:cs="Arial"/>
          <w:szCs w:val="22"/>
        </w:rPr>
        <w:t>.</w:t>
      </w:r>
    </w:p>
    <w:p w14:paraId="16CEEA31" w14:textId="67FDD448" w:rsidR="002C1A3B" w:rsidRPr="002C1A3B" w:rsidRDefault="002C1A3B" w:rsidP="0096592A">
      <w:pPr>
        <w:pStyle w:val="Heading4"/>
      </w:pPr>
      <w:r w:rsidRPr="002C1A3B">
        <w:t>Any relevant New Zealand standards</w:t>
      </w:r>
    </w:p>
    <w:p w14:paraId="3BEC0E6D" w14:textId="6C6E24DF" w:rsidR="00414BDE" w:rsidRDefault="00414BDE" w:rsidP="0096592A">
      <w:pPr>
        <w:spacing w:after="240"/>
      </w:pPr>
      <w:r>
        <w:t>No relevant New Zealand standards were identified in assessing th</w:t>
      </w:r>
      <w:r w:rsidR="00B86CDE">
        <w:t>is</w:t>
      </w:r>
      <w:r>
        <w:t xml:space="preserve"> </w:t>
      </w:r>
      <w:r w:rsidR="00B86CDE">
        <w:t>p</w:t>
      </w:r>
      <w:r>
        <w:t xml:space="preserve">roposal. </w:t>
      </w:r>
    </w:p>
    <w:p w14:paraId="1AFB258E" w14:textId="6AD0358E" w:rsidR="002C1A3B" w:rsidRPr="002C1A3B" w:rsidRDefault="00B86CDE" w:rsidP="0096592A">
      <w:pPr>
        <w:spacing w:after="240"/>
      </w:pPr>
      <w:r>
        <w:t xml:space="preserve">The </w:t>
      </w:r>
      <w:r w:rsidR="00414BDE">
        <w:t>proposal relates to Chapter 3 of the Code</w:t>
      </w:r>
      <w:r>
        <w:t>,</w:t>
      </w:r>
      <w:r w:rsidR="00414BDE">
        <w:t xml:space="preserve"> which applies to Australia only. The </w:t>
      </w:r>
      <w:r w:rsidR="00835B22">
        <w:t>approved draft Standard</w:t>
      </w:r>
      <w:r>
        <w:t xml:space="preserve"> </w:t>
      </w:r>
      <w:r w:rsidR="00414BDE">
        <w:t xml:space="preserve">will not apply in New Zealand. </w:t>
      </w:r>
    </w:p>
    <w:p w14:paraId="2FDC8491" w14:textId="5D06AC3E" w:rsidR="002C1A3B" w:rsidRPr="002C1A3B" w:rsidRDefault="002C1A3B" w:rsidP="0096592A">
      <w:pPr>
        <w:pStyle w:val="Heading4"/>
      </w:pPr>
      <w:r>
        <w:t>Any other relevant matters</w:t>
      </w:r>
    </w:p>
    <w:p w14:paraId="1AFBA282" w14:textId="775B302E" w:rsidR="00414BDE" w:rsidRDefault="00414BDE" w:rsidP="0096592A">
      <w:pPr>
        <w:spacing w:after="240"/>
      </w:pPr>
      <w:bookmarkStart w:id="140" w:name="_Toc370223479"/>
      <w:bookmarkStart w:id="141" w:name="_Toc370225394"/>
      <w:bookmarkStart w:id="142" w:name="_Toc300761897"/>
      <w:bookmarkStart w:id="143" w:name="_Toc300933440"/>
      <w:r>
        <w:t xml:space="preserve">Other relevant matters are considered in section </w:t>
      </w:r>
      <w:r w:rsidR="00D349E5">
        <w:t>2.6.2</w:t>
      </w:r>
      <w:r>
        <w:t xml:space="preserve"> and </w:t>
      </w:r>
      <w:r w:rsidR="00D349E5">
        <w:t>2.6</w:t>
      </w:r>
      <w:r>
        <w:t>.3 below</w:t>
      </w:r>
      <w:r w:rsidR="004B6C70">
        <w:t>, the supporting documents to the CFS and the DRIS</w:t>
      </w:r>
      <w:r>
        <w:t>.</w:t>
      </w:r>
    </w:p>
    <w:p w14:paraId="10D5D332" w14:textId="13F3A241" w:rsidR="00414BDE" w:rsidRPr="00D075FA" w:rsidRDefault="00414BDE" w:rsidP="0096592A">
      <w:pPr>
        <w:spacing w:after="240"/>
      </w:pPr>
      <w:r w:rsidRPr="00D075FA">
        <w:t>In assessing P1053, FSANZ also had regard to the following:</w:t>
      </w:r>
    </w:p>
    <w:p w14:paraId="7613DC4F" w14:textId="77777777" w:rsidR="00414BDE" w:rsidRPr="00D075FA" w:rsidRDefault="00414BDE" w:rsidP="00614AF5">
      <w:pPr>
        <w:numPr>
          <w:ilvl w:val="0"/>
          <w:numId w:val="8"/>
        </w:numPr>
      </w:pPr>
      <w:r w:rsidRPr="00D075FA">
        <w:t xml:space="preserve">the recommendations of the food safety management working group and </w:t>
      </w:r>
    </w:p>
    <w:p w14:paraId="72F7B6E9" w14:textId="066B33A8" w:rsidR="00414BDE" w:rsidRPr="00D075FA" w:rsidRDefault="00414BDE" w:rsidP="00614AF5">
      <w:pPr>
        <w:numPr>
          <w:ilvl w:val="0"/>
          <w:numId w:val="8"/>
        </w:numPr>
        <w:spacing w:after="240"/>
      </w:pPr>
      <w:r w:rsidRPr="00D075FA">
        <w:t xml:space="preserve">the subsequent request by Ministers to consider the potential regulatory measures. </w:t>
      </w:r>
    </w:p>
    <w:p w14:paraId="01924A39" w14:textId="3D972244" w:rsidR="001F7F63" w:rsidRDefault="00835B22" w:rsidP="0096592A">
      <w:pPr>
        <w:spacing w:after="240"/>
        <w:rPr>
          <w:lang w:bidi="ar-SA"/>
        </w:rPr>
      </w:pPr>
      <w:r w:rsidRPr="00D075FA">
        <w:t>While FSANZ had regard to the latter in its assessment (to the extent that they are relevant), they were not the only matters taken into account and we made our own independent assessment in accordance with the FSANZ Act</w:t>
      </w:r>
      <w:r w:rsidR="001F7F63" w:rsidRPr="3C0957AF">
        <w:rPr>
          <w:lang w:bidi="ar-SA"/>
        </w:rPr>
        <w:t>.</w:t>
      </w:r>
      <w:r w:rsidR="001F7F63">
        <w:t xml:space="preserve"> </w:t>
      </w:r>
    </w:p>
    <w:p w14:paraId="6436117F" w14:textId="05E5FE10" w:rsidR="002C1A3B" w:rsidRPr="002C1A3B" w:rsidRDefault="002C1A3B" w:rsidP="0096592A">
      <w:pPr>
        <w:pStyle w:val="Heading3"/>
        <w:ind w:left="0" w:firstLine="0"/>
      </w:pPr>
      <w:bookmarkStart w:id="144" w:name="_Toc109300428"/>
      <w:r w:rsidRPr="002C1A3B">
        <w:t>Subsection 18(1)</w:t>
      </w:r>
      <w:bookmarkEnd w:id="140"/>
      <w:bookmarkEnd w:id="141"/>
      <w:bookmarkEnd w:id="144"/>
      <w:r w:rsidRPr="002C1A3B">
        <w:t xml:space="preserve"> </w:t>
      </w:r>
      <w:bookmarkEnd w:id="142"/>
      <w:bookmarkEnd w:id="143"/>
    </w:p>
    <w:p w14:paraId="094A1619" w14:textId="4D644395" w:rsidR="002C1A3B" w:rsidRPr="002C1A3B" w:rsidRDefault="002C1A3B" w:rsidP="0096592A">
      <w:pPr>
        <w:spacing w:after="240"/>
      </w:pPr>
      <w:r w:rsidRPr="002C1A3B">
        <w:rPr>
          <w:rFonts w:cs="Arial"/>
        </w:rPr>
        <w:t xml:space="preserve">FSANZ also </w:t>
      </w:r>
      <w:r w:rsidRPr="002C1A3B">
        <w:t>considered the three objectives in subsection 18(1) of the FSANZ Act during the assessment.</w:t>
      </w:r>
    </w:p>
    <w:p w14:paraId="7A3E7DAB" w14:textId="28DBF2E3" w:rsidR="002C1A3B" w:rsidRPr="002C1A3B" w:rsidRDefault="002C1A3B" w:rsidP="0096592A">
      <w:pPr>
        <w:pStyle w:val="Heading4"/>
        <w:rPr>
          <w:lang w:eastAsia="en-AU"/>
        </w:rPr>
      </w:pPr>
      <w:bookmarkStart w:id="145" w:name="_Toc297029117"/>
      <w:bookmarkStart w:id="146" w:name="_Toc300761898"/>
      <w:bookmarkStart w:id="147" w:name="_Toc300933441"/>
      <w:r w:rsidRPr="002C1A3B">
        <w:rPr>
          <w:lang w:eastAsia="en-AU"/>
        </w:rPr>
        <w:t>Protection of public health and safety</w:t>
      </w:r>
      <w:bookmarkEnd w:id="145"/>
      <w:bookmarkEnd w:id="146"/>
      <w:bookmarkEnd w:id="147"/>
    </w:p>
    <w:p w14:paraId="77FB7F3C" w14:textId="46402858" w:rsidR="00D349E5" w:rsidRDefault="00D349E5" w:rsidP="0096592A">
      <w:pPr>
        <w:spacing w:after="240"/>
      </w:pPr>
      <w:r>
        <w:t xml:space="preserve">FSANZ considers the draft </w:t>
      </w:r>
      <w:r w:rsidR="00B86CDE">
        <w:t xml:space="preserve">approved </w:t>
      </w:r>
      <w:r>
        <w:t>standard is consistent with this objective.</w:t>
      </w:r>
    </w:p>
    <w:p w14:paraId="55D2C75F" w14:textId="0BCBA92B" w:rsidR="00D349E5" w:rsidRPr="00971B55" w:rsidRDefault="00D349E5" w:rsidP="0096592A">
      <w:pPr>
        <w:spacing w:after="240"/>
      </w:pPr>
      <w:r w:rsidRPr="001B6E16">
        <w:t xml:space="preserve">FSANZ assessed the </w:t>
      </w:r>
      <w:r>
        <w:t xml:space="preserve">best </w:t>
      </w:r>
      <w:r w:rsidRPr="001B6E16">
        <w:t>available evidence and information on food safety risks</w:t>
      </w:r>
      <w:r>
        <w:t xml:space="preserve"> and current</w:t>
      </w:r>
      <w:r w:rsidRPr="001B6E16">
        <w:t xml:space="preserve"> risk management measures applied to </w:t>
      </w:r>
      <w:r>
        <w:t xml:space="preserve">food handling activities in the </w:t>
      </w:r>
      <w:r w:rsidRPr="001B6E16">
        <w:t xml:space="preserve">food service and retail businesses. </w:t>
      </w:r>
      <w:r w:rsidR="00B86CDE">
        <w:t>S</w:t>
      </w:r>
      <w:r w:rsidRPr="001B6E16">
        <w:t>ignificant foodborne illness outbreaks associated with these sectors have occurred</w:t>
      </w:r>
      <w:r w:rsidR="00B86CDE">
        <w:t>,</w:t>
      </w:r>
      <w:r w:rsidRPr="00971B55">
        <w:t xml:space="preserve"> result</w:t>
      </w:r>
      <w:r w:rsidR="00B86CDE">
        <w:t>ing</w:t>
      </w:r>
      <w:r w:rsidRPr="00971B55">
        <w:t xml:space="preserve"> in </w:t>
      </w:r>
      <w:r w:rsidR="000A30A6">
        <w:t xml:space="preserve">many </w:t>
      </w:r>
      <w:r w:rsidR="000A30A6">
        <w:rPr>
          <w:rFonts w:cs="Arial"/>
        </w:rPr>
        <w:t>hundreds of</w:t>
      </w:r>
      <w:r w:rsidR="000A30A6" w:rsidRPr="00971B55">
        <w:rPr>
          <w:rFonts w:cs="Arial"/>
        </w:rPr>
        <w:t xml:space="preserve"> </w:t>
      </w:r>
      <w:r w:rsidRPr="00971B55">
        <w:t>cases of illness</w:t>
      </w:r>
      <w:r w:rsidR="000A30A6">
        <w:t xml:space="preserve"> and</w:t>
      </w:r>
      <w:r w:rsidRPr="00971B55">
        <w:t xml:space="preserve"> </w:t>
      </w:r>
      <w:r w:rsidRPr="00971B55">
        <w:rPr>
          <w:rFonts w:cs="Arial"/>
        </w:rPr>
        <w:t>hospitalisations</w:t>
      </w:r>
      <w:r w:rsidR="00AF1008">
        <w:rPr>
          <w:rFonts w:cs="Arial"/>
        </w:rPr>
        <w:t>,</w:t>
      </w:r>
      <w:r w:rsidRPr="00971B55">
        <w:t xml:space="preserve"> and </w:t>
      </w:r>
      <w:r w:rsidR="000A30A6">
        <w:t>dozens of reported</w:t>
      </w:r>
      <w:r w:rsidRPr="00971B55">
        <w:t xml:space="preserve"> fatalities</w:t>
      </w:r>
      <w:r w:rsidR="00AF1008">
        <w:t xml:space="preserve"> for 2010</w:t>
      </w:r>
      <w:r w:rsidR="001B4D0A">
        <w:t>–</w:t>
      </w:r>
      <w:r w:rsidR="00AF1008">
        <w:t>2017</w:t>
      </w:r>
      <w:r w:rsidR="001B4D0A">
        <w:t xml:space="preserve"> (see</w:t>
      </w:r>
      <w:r w:rsidR="000A30A6" w:rsidRPr="000A30A6">
        <w:t xml:space="preserve"> the </w:t>
      </w:r>
      <w:hyperlink r:id="rId34" w:history="1">
        <w:r w:rsidR="000A30A6" w:rsidRPr="001B4D0A">
          <w:rPr>
            <w:rStyle w:val="Hyperlink"/>
          </w:rPr>
          <w:t xml:space="preserve">microbiological </w:t>
        </w:r>
        <w:r w:rsidR="001B4D0A" w:rsidRPr="001B4D0A">
          <w:rPr>
            <w:rStyle w:val="Hyperlink"/>
          </w:rPr>
          <w:t>risk profile</w:t>
        </w:r>
      </w:hyperlink>
      <w:r w:rsidR="000A30A6" w:rsidRPr="000A30A6">
        <w:t>)</w:t>
      </w:r>
      <w:r w:rsidRPr="00971B55">
        <w:t xml:space="preserve">. </w:t>
      </w:r>
    </w:p>
    <w:p w14:paraId="748709DE" w14:textId="765E3F50" w:rsidR="00D349E5" w:rsidRPr="00971B55" w:rsidRDefault="00D349E5" w:rsidP="0096592A">
      <w:pPr>
        <w:spacing w:after="240"/>
      </w:pPr>
      <w:r>
        <w:t>A</w:t>
      </w:r>
      <w:r w:rsidRPr="00971B55">
        <w:t xml:space="preserve">ll food businesses in Australia are required to comply with food safety requirements in Chapter 3 of the Code, along with relevant requirements in </w:t>
      </w:r>
      <w:r>
        <w:t xml:space="preserve">jurisdictional Food Acts. However, </w:t>
      </w:r>
      <w:r w:rsidRPr="00971B55">
        <w:t>the contin</w:t>
      </w:r>
      <w:r>
        <w:t xml:space="preserve">ued </w:t>
      </w:r>
      <w:r w:rsidRPr="00971B55">
        <w:t>incidence of foodborne illness linked to the</w:t>
      </w:r>
      <w:r>
        <w:t>se</w:t>
      </w:r>
      <w:r w:rsidRPr="00971B55">
        <w:t xml:space="preserve"> sector</w:t>
      </w:r>
      <w:r>
        <w:t>s</w:t>
      </w:r>
      <w:r w:rsidRPr="00971B55">
        <w:t xml:space="preserve"> </w:t>
      </w:r>
      <w:r w:rsidR="00AF1008">
        <w:t>indicates</w:t>
      </w:r>
      <w:r w:rsidRPr="00971B55">
        <w:t>, for the</w:t>
      </w:r>
      <w:r w:rsidR="00AF1008">
        <w:t xml:space="preserve"> identified </w:t>
      </w:r>
      <w:r w:rsidRPr="00971B55">
        <w:t xml:space="preserve">food handling activities, the minimum requirements of </w:t>
      </w:r>
      <w:r>
        <w:t>C</w:t>
      </w:r>
      <w:r w:rsidRPr="00971B55">
        <w:t xml:space="preserve">hapter 3 alone </w:t>
      </w:r>
      <w:r w:rsidR="008347C9">
        <w:t>do</w:t>
      </w:r>
      <w:r w:rsidR="008347C9" w:rsidRPr="00971B55">
        <w:t xml:space="preserve"> </w:t>
      </w:r>
      <w:r w:rsidRPr="00971B55">
        <w:t xml:space="preserve">not </w:t>
      </w:r>
      <w:r w:rsidR="008347C9">
        <w:t>provide the necessary</w:t>
      </w:r>
      <w:r w:rsidR="008347C9" w:rsidRPr="00971B55">
        <w:t xml:space="preserve"> </w:t>
      </w:r>
      <w:r w:rsidR="008347C9">
        <w:t>assurance that</w:t>
      </w:r>
      <w:r w:rsidR="008347C9" w:rsidRPr="00971B55">
        <w:t xml:space="preserve"> </w:t>
      </w:r>
      <w:r w:rsidRPr="00971B55">
        <w:t xml:space="preserve">food safety risks </w:t>
      </w:r>
      <w:r w:rsidR="008347C9">
        <w:t xml:space="preserve">are being addressed </w:t>
      </w:r>
      <w:r w:rsidRPr="00971B55">
        <w:t>and public health and safety</w:t>
      </w:r>
      <w:r w:rsidR="008347C9">
        <w:t xml:space="preserve"> is protected</w:t>
      </w:r>
      <w:r w:rsidRPr="00971B55">
        <w:t>.</w:t>
      </w:r>
    </w:p>
    <w:p w14:paraId="4A67F8FD" w14:textId="01915228" w:rsidR="002C1A3B" w:rsidRPr="002C1A3B" w:rsidRDefault="00835B22" w:rsidP="0096592A">
      <w:pPr>
        <w:spacing w:after="240"/>
        <w:rPr>
          <w:color w:val="00B050"/>
        </w:rPr>
      </w:pPr>
      <w:r>
        <w:rPr>
          <w:lang w:eastAsia="en-AU"/>
        </w:rPr>
        <w:t xml:space="preserve">Having regard to the </w:t>
      </w:r>
      <w:r>
        <w:t>best available evidence,</w:t>
      </w:r>
      <w:r>
        <w:rPr>
          <w:lang w:eastAsia="en-AU"/>
        </w:rPr>
        <w:t xml:space="preserve"> </w:t>
      </w:r>
      <w:r w:rsidR="00AF1008">
        <w:rPr>
          <w:lang w:eastAsia="en-AU"/>
        </w:rPr>
        <w:t>FSANZ considers the i</w:t>
      </w:r>
      <w:r w:rsidR="00D349E5" w:rsidRPr="00971B55">
        <w:rPr>
          <w:lang w:eastAsia="en-AU"/>
        </w:rPr>
        <w:t>mplement</w:t>
      </w:r>
      <w:r w:rsidR="00AF1008">
        <w:rPr>
          <w:lang w:eastAsia="en-AU"/>
        </w:rPr>
        <w:t>ation of</w:t>
      </w:r>
      <w:r w:rsidR="00D349E5" w:rsidRPr="00971B55">
        <w:rPr>
          <w:lang w:eastAsia="en-AU"/>
        </w:rPr>
        <w:t xml:space="preserve"> a nationally consistent suite of food safety management tools will</w:t>
      </w:r>
      <w:r w:rsidR="00D349E5">
        <w:rPr>
          <w:lang w:eastAsia="en-AU"/>
        </w:rPr>
        <w:t xml:space="preserve"> help business</w:t>
      </w:r>
      <w:r w:rsidR="00AF1008">
        <w:rPr>
          <w:lang w:eastAsia="en-AU"/>
        </w:rPr>
        <w:t>es</w:t>
      </w:r>
      <w:r w:rsidR="00D349E5">
        <w:rPr>
          <w:lang w:eastAsia="en-AU"/>
        </w:rPr>
        <w:t xml:space="preserve"> better manage the</w:t>
      </w:r>
      <w:r w:rsidR="00AF1008">
        <w:rPr>
          <w:lang w:eastAsia="en-AU"/>
        </w:rPr>
        <w:t xml:space="preserve"> identified</w:t>
      </w:r>
      <w:r w:rsidR="00D349E5">
        <w:rPr>
          <w:lang w:eastAsia="en-AU"/>
        </w:rPr>
        <w:t xml:space="preserve"> risks, </w:t>
      </w:r>
      <w:r w:rsidR="008347C9">
        <w:rPr>
          <w:lang w:eastAsia="en-AU"/>
        </w:rPr>
        <w:t xml:space="preserve">and </w:t>
      </w:r>
      <w:r w:rsidR="00D349E5">
        <w:rPr>
          <w:lang w:eastAsia="en-AU"/>
        </w:rPr>
        <w:t>reduc</w:t>
      </w:r>
      <w:r w:rsidR="008347C9">
        <w:rPr>
          <w:lang w:eastAsia="en-AU"/>
        </w:rPr>
        <w:t>e</w:t>
      </w:r>
      <w:r w:rsidR="00D349E5">
        <w:rPr>
          <w:lang w:eastAsia="en-AU"/>
        </w:rPr>
        <w:t xml:space="preserve"> </w:t>
      </w:r>
      <w:r w:rsidR="008347C9">
        <w:rPr>
          <w:lang w:eastAsia="en-AU"/>
        </w:rPr>
        <w:t xml:space="preserve">the </w:t>
      </w:r>
      <w:r w:rsidR="00D349E5">
        <w:rPr>
          <w:lang w:eastAsia="en-AU"/>
        </w:rPr>
        <w:t xml:space="preserve">likelihood of consumers </w:t>
      </w:r>
      <w:r w:rsidR="00AF1008">
        <w:rPr>
          <w:lang w:eastAsia="en-AU"/>
        </w:rPr>
        <w:t xml:space="preserve">becoming </w:t>
      </w:r>
      <w:r w:rsidR="00D349E5">
        <w:rPr>
          <w:lang w:eastAsia="en-AU"/>
        </w:rPr>
        <w:t xml:space="preserve">sick from consumption of food in these settings </w:t>
      </w:r>
      <w:r w:rsidR="00D349E5" w:rsidRPr="004B6C70">
        <w:rPr>
          <w:lang w:eastAsia="en-AU"/>
        </w:rPr>
        <w:t>(</w:t>
      </w:r>
      <w:r>
        <w:rPr>
          <w:lang w:eastAsia="en-AU"/>
        </w:rPr>
        <w:t xml:space="preserve">see </w:t>
      </w:r>
      <w:r w:rsidR="001B4D0A" w:rsidRPr="004B6C70">
        <w:rPr>
          <w:lang w:eastAsia="en-AU"/>
        </w:rPr>
        <w:t>Attachment C</w:t>
      </w:r>
      <w:r w:rsidR="00D349E5" w:rsidRPr="004B6C70">
        <w:rPr>
          <w:lang w:eastAsia="en-AU"/>
        </w:rPr>
        <w:t>).</w:t>
      </w:r>
      <w:r w:rsidR="00D349E5" w:rsidRPr="00971B55">
        <w:rPr>
          <w:lang w:eastAsia="en-AU"/>
        </w:rPr>
        <w:t xml:space="preserve"> Th</w:t>
      </w:r>
      <w:r w:rsidR="00AF1008">
        <w:rPr>
          <w:lang w:eastAsia="en-AU"/>
        </w:rPr>
        <w:t>e</w:t>
      </w:r>
      <w:r w:rsidR="00D349E5" w:rsidRPr="00971B55">
        <w:rPr>
          <w:lang w:eastAsia="en-AU"/>
        </w:rPr>
        <w:t xml:space="preserve"> </w:t>
      </w:r>
      <w:r w:rsidR="00AF1008">
        <w:rPr>
          <w:lang w:eastAsia="en-AU"/>
        </w:rPr>
        <w:t>draft approved standard</w:t>
      </w:r>
      <w:r w:rsidR="00AF1008" w:rsidRPr="00971B55">
        <w:rPr>
          <w:lang w:eastAsia="en-AU"/>
        </w:rPr>
        <w:t xml:space="preserve"> </w:t>
      </w:r>
      <w:r w:rsidR="00D349E5" w:rsidRPr="00971B55">
        <w:rPr>
          <w:lang w:eastAsia="en-AU"/>
        </w:rPr>
        <w:t xml:space="preserve">is intended to </w:t>
      </w:r>
      <w:r w:rsidR="008347C9">
        <w:rPr>
          <w:lang w:eastAsia="en-AU"/>
        </w:rPr>
        <w:t xml:space="preserve">enhance current measures and </w:t>
      </w:r>
      <w:r w:rsidR="00D349E5" w:rsidRPr="00971B55">
        <w:rPr>
          <w:lang w:eastAsia="en-AU"/>
        </w:rPr>
        <w:t>be preventive rather than reactive in nature, given the compliance and enforcement powers already available in each jurisdiction.</w:t>
      </w:r>
    </w:p>
    <w:p w14:paraId="11C7E318" w14:textId="12449670" w:rsidR="002C1A3B" w:rsidRDefault="002C1A3B" w:rsidP="0096592A">
      <w:pPr>
        <w:pStyle w:val="Heading4"/>
        <w:rPr>
          <w:lang w:eastAsia="en-AU"/>
        </w:rPr>
      </w:pPr>
      <w:bookmarkStart w:id="148" w:name="_Toc300761899"/>
      <w:bookmarkStart w:id="149" w:name="_Toc300933442"/>
      <w:r w:rsidRPr="002C1A3B">
        <w:rPr>
          <w:lang w:eastAsia="en-AU"/>
        </w:rPr>
        <w:lastRenderedPageBreak/>
        <w:t>The provision of adequate information relating to food to enable consumers to make informed choices</w:t>
      </w:r>
      <w:bookmarkEnd w:id="148"/>
      <w:bookmarkEnd w:id="149"/>
    </w:p>
    <w:p w14:paraId="6C4BFD15" w14:textId="7AE4F2E3" w:rsidR="00D349E5" w:rsidRPr="00D349E5" w:rsidRDefault="00D349E5" w:rsidP="0096592A">
      <w:pPr>
        <w:spacing w:after="240"/>
        <w:rPr>
          <w:lang w:eastAsia="en-AU" w:bidi="ar-SA"/>
        </w:rPr>
      </w:pPr>
      <w:r>
        <w:t>FSANZ considers this objective is not directly relevant to this proposal. Providing information to consumers about safe food practices in these settings is not likely to reduce</w:t>
      </w:r>
      <w:r w:rsidR="001B4D0A">
        <w:t xml:space="preserve"> foodborne illness (Attachment C</w:t>
      </w:r>
      <w:r w:rsidRPr="00FC252D">
        <w:t>).</w:t>
      </w:r>
    </w:p>
    <w:p w14:paraId="44315FE9" w14:textId="3A257961" w:rsidR="002C1A3B" w:rsidRPr="002C1A3B" w:rsidRDefault="002C1A3B" w:rsidP="0096592A">
      <w:pPr>
        <w:pStyle w:val="Heading4"/>
        <w:rPr>
          <w:lang w:eastAsia="en-AU"/>
        </w:rPr>
      </w:pPr>
      <w:bookmarkStart w:id="150" w:name="_Toc300761900"/>
      <w:bookmarkStart w:id="151" w:name="_Toc300933443"/>
      <w:r w:rsidRPr="002C1A3B">
        <w:rPr>
          <w:lang w:eastAsia="en-AU"/>
        </w:rPr>
        <w:t>The prevention of misleading or deceptive conduct</w:t>
      </w:r>
      <w:bookmarkEnd w:id="150"/>
      <w:bookmarkEnd w:id="151"/>
    </w:p>
    <w:p w14:paraId="78549825" w14:textId="77777777" w:rsidR="00D349E5" w:rsidRPr="002B3EEA" w:rsidRDefault="00D349E5" w:rsidP="0096592A">
      <w:pPr>
        <w:spacing w:after="240"/>
        <w:rPr>
          <w:lang w:bidi="ar-SA"/>
        </w:rPr>
      </w:pPr>
      <w:bookmarkStart w:id="152" w:name="_Toc300761901"/>
      <w:bookmarkStart w:id="153" w:name="_Toc300933444"/>
      <w:bookmarkStart w:id="154" w:name="_Toc370223480"/>
      <w:bookmarkStart w:id="155" w:name="_Toc370225395"/>
      <w:r>
        <w:rPr>
          <w:lang w:bidi="ar-SA"/>
        </w:rPr>
        <w:t>FSANZ has not identified any issues relevant to this matter.</w:t>
      </w:r>
    </w:p>
    <w:p w14:paraId="6F7B689B" w14:textId="411BA790" w:rsidR="002C1A3B" w:rsidRPr="002C1A3B" w:rsidRDefault="002C1A3B" w:rsidP="0096592A">
      <w:pPr>
        <w:pStyle w:val="Heading3"/>
      </w:pPr>
      <w:bookmarkStart w:id="156" w:name="_Toc109300429"/>
      <w:r w:rsidRPr="002C1A3B">
        <w:t xml:space="preserve">Subsection 18(2) </w:t>
      </w:r>
      <w:bookmarkEnd w:id="152"/>
      <w:bookmarkEnd w:id="153"/>
      <w:r w:rsidRPr="002C1A3B">
        <w:t>considerations</w:t>
      </w:r>
      <w:bookmarkEnd w:id="154"/>
      <w:bookmarkEnd w:id="155"/>
      <w:bookmarkEnd w:id="156"/>
    </w:p>
    <w:p w14:paraId="13950D23" w14:textId="08B4F5FC" w:rsidR="002C1A3B" w:rsidRPr="002C1A3B" w:rsidRDefault="00D349E5" w:rsidP="0096592A">
      <w:pPr>
        <w:spacing w:after="240"/>
        <w:rPr>
          <w:rFonts w:cs="Arial"/>
        </w:rPr>
      </w:pPr>
      <w:r w:rsidRPr="00914030">
        <w:rPr>
          <w:rFonts w:cs="Arial"/>
        </w:rPr>
        <w:t>FSANZ has also had regard to</w:t>
      </w:r>
      <w:r>
        <w:rPr>
          <w:rFonts w:cs="Arial"/>
        </w:rPr>
        <w:t xml:space="preserve"> the following considerations under subsection 18(2):</w:t>
      </w:r>
    </w:p>
    <w:p w14:paraId="5825A6B2" w14:textId="77777777" w:rsidR="002C1A3B" w:rsidRPr="002C1A3B" w:rsidRDefault="002C1A3B" w:rsidP="0096592A">
      <w:pPr>
        <w:pStyle w:val="FSBullet1"/>
        <w:spacing w:after="240"/>
        <w:rPr>
          <w:b/>
        </w:rPr>
      </w:pPr>
      <w:r w:rsidRPr="002C1A3B">
        <w:rPr>
          <w:b/>
        </w:rPr>
        <w:t>the need for standards to be based on risk analysis using the best available scientific evidence</w:t>
      </w:r>
    </w:p>
    <w:p w14:paraId="0E98E617" w14:textId="544560F1" w:rsidR="00D349E5" w:rsidRDefault="00D349E5" w:rsidP="0096592A">
      <w:pPr>
        <w:keepLines/>
        <w:spacing w:after="240"/>
      </w:pPr>
      <w:r w:rsidRPr="00D90680">
        <w:t>Th</w:t>
      </w:r>
      <w:r>
        <w:t xml:space="preserve">e P1053 </w:t>
      </w:r>
      <w:hyperlink r:id="rId35" w:history="1">
        <w:r w:rsidR="00AF1008" w:rsidRPr="008347C9">
          <w:rPr>
            <w:rStyle w:val="Hyperlink"/>
          </w:rPr>
          <w:t xml:space="preserve">microbiological </w:t>
        </w:r>
        <w:r w:rsidR="001B4D0A">
          <w:rPr>
            <w:rStyle w:val="Hyperlink"/>
          </w:rPr>
          <w:t>risk profile</w:t>
        </w:r>
      </w:hyperlink>
      <w:r>
        <w:t xml:space="preserve"> </w:t>
      </w:r>
      <w:r w:rsidR="001B4D0A">
        <w:t>examined</w:t>
      </w:r>
      <w:r w:rsidRPr="00D90680">
        <w:t xml:space="preserve"> risks to public health and safety </w:t>
      </w:r>
      <w:r>
        <w:t xml:space="preserve">associated with Australian </w:t>
      </w:r>
      <w:r w:rsidRPr="00D90680">
        <w:t>food service and r</w:t>
      </w:r>
      <w:r>
        <w:t>elated food retail businesses</w:t>
      </w:r>
      <w:r w:rsidR="00E72998">
        <w:t>,</w:t>
      </w:r>
      <w:r w:rsidR="00635F96">
        <w:t xml:space="preserve"> using the best available data and evidence</w:t>
      </w:r>
      <w:r>
        <w:t xml:space="preserve">. </w:t>
      </w:r>
      <w:r w:rsidRPr="001B4D0A">
        <w:t>FSANZ use</w:t>
      </w:r>
      <w:r w:rsidR="00AF1008" w:rsidRPr="001B4D0A">
        <w:t>d</w:t>
      </w:r>
      <w:r w:rsidRPr="001B4D0A">
        <w:t xml:space="preserve"> several tools to assess risks to public health and safety, including risk profiling</w:t>
      </w:r>
      <w:r w:rsidRPr="001B4D0A">
        <w:rPr>
          <w:rStyle w:val="FootnoteReference"/>
        </w:rPr>
        <w:footnoteReference w:id="10"/>
      </w:r>
      <w:r w:rsidRPr="001B4D0A">
        <w:t>, quantitative and qualitative risk assessments</w:t>
      </w:r>
      <w:r w:rsidRPr="001B4D0A">
        <w:rPr>
          <w:rStyle w:val="FootnoteReference"/>
        </w:rPr>
        <w:footnoteReference w:id="11"/>
      </w:r>
      <w:r w:rsidRPr="001B4D0A">
        <w:t xml:space="preserve"> and scientific evaluations. The application of these tools to the assessment of the risks to public health and safety utilised the best available evidence.</w:t>
      </w:r>
    </w:p>
    <w:p w14:paraId="7649BEFA" w14:textId="3016291A" w:rsidR="002C1A3B" w:rsidRPr="002C1A3B" w:rsidRDefault="002C1A3B" w:rsidP="003B2774">
      <w:pPr>
        <w:pStyle w:val="FSBullet1"/>
        <w:spacing w:after="240"/>
      </w:pPr>
      <w:r w:rsidRPr="002E7A54">
        <w:rPr>
          <w:b/>
        </w:rPr>
        <w:t>the promotion of consistency between domestic and international food standards</w:t>
      </w:r>
    </w:p>
    <w:p w14:paraId="0EAED01E" w14:textId="12B43313" w:rsidR="002C1A3B" w:rsidRPr="002C1A3B" w:rsidRDefault="00D349E5" w:rsidP="0096592A">
      <w:pPr>
        <w:spacing w:after="240"/>
        <w:rPr>
          <w:lang w:bidi="ar-SA"/>
        </w:rPr>
      </w:pPr>
      <w:r w:rsidRPr="00277BA5">
        <w:t xml:space="preserve">There is considerable variation in international legislation for food safety management in the food service and retail sectors. FSANZ has considered </w:t>
      </w:r>
      <w:r>
        <w:t>international s</w:t>
      </w:r>
      <w:r w:rsidRPr="00277BA5">
        <w:t xml:space="preserve">tandards, including those of Codex, </w:t>
      </w:r>
      <w:r>
        <w:t xml:space="preserve">in the assessment (further discussed in Attachment </w:t>
      </w:r>
      <w:r w:rsidR="005E6A98">
        <w:t>C</w:t>
      </w:r>
      <w:r>
        <w:t>).</w:t>
      </w:r>
    </w:p>
    <w:p w14:paraId="45C580F8" w14:textId="1B35B948" w:rsidR="002C1A3B" w:rsidRPr="002C1A3B" w:rsidRDefault="002C1A3B" w:rsidP="003B2774">
      <w:pPr>
        <w:pStyle w:val="FSBullet1"/>
        <w:spacing w:after="240"/>
      </w:pPr>
      <w:r w:rsidRPr="002E7A54">
        <w:rPr>
          <w:b/>
        </w:rPr>
        <w:t>the desirability of an efficient and internationally competitive food industry</w:t>
      </w:r>
    </w:p>
    <w:p w14:paraId="7EB2ECC3" w14:textId="0D7F36B6" w:rsidR="002C1A3B" w:rsidRPr="002C1A3B" w:rsidRDefault="00D349E5" w:rsidP="0096592A">
      <w:pPr>
        <w:spacing w:after="240"/>
        <w:rPr>
          <w:lang w:bidi="ar-SA"/>
        </w:rPr>
      </w:pPr>
      <w:r>
        <w:rPr>
          <w:lang w:bidi="ar-SA"/>
        </w:rPr>
        <w:t>FSANZ has not identified any issues relevant to this matter.</w:t>
      </w:r>
    </w:p>
    <w:p w14:paraId="6489D90E" w14:textId="0C534632" w:rsidR="002C1A3B" w:rsidRPr="002C1A3B" w:rsidRDefault="002C1A3B" w:rsidP="003B2774">
      <w:pPr>
        <w:pStyle w:val="FSBullet1"/>
        <w:spacing w:after="240"/>
      </w:pPr>
      <w:r w:rsidRPr="002E7A54">
        <w:rPr>
          <w:b/>
        </w:rPr>
        <w:t>the promotion of fair trading in food</w:t>
      </w:r>
    </w:p>
    <w:p w14:paraId="45C3AC35" w14:textId="76905E2B" w:rsidR="002C1A3B" w:rsidRPr="002C1A3B" w:rsidRDefault="00D349E5" w:rsidP="0096592A">
      <w:pPr>
        <w:spacing w:after="240"/>
        <w:rPr>
          <w:lang w:bidi="ar-SA"/>
        </w:rPr>
      </w:pPr>
      <w:r>
        <w:rPr>
          <w:lang w:bidi="ar-SA"/>
        </w:rPr>
        <w:t>FSANZ has not identified any issues relevant to this matter.</w:t>
      </w:r>
    </w:p>
    <w:p w14:paraId="17D71B79" w14:textId="7B7AC5E5" w:rsidR="002C1A3B" w:rsidRPr="002C1A3B" w:rsidRDefault="002C1A3B" w:rsidP="003B2774">
      <w:pPr>
        <w:pStyle w:val="FSBullet1"/>
        <w:spacing w:after="240"/>
      </w:pPr>
      <w:r w:rsidRPr="002E7A54">
        <w:rPr>
          <w:b/>
        </w:rPr>
        <w:t xml:space="preserve">any written policy guidelines formulated by the </w:t>
      </w:r>
      <w:r w:rsidR="00EA2226" w:rsidRPr="002E7A54">
        <w:rPr>
          <w:b/>
        </w:rPr>
        <w:t>Forum on Food Regulation</w:t>
      </w:r>
    </w:p>
    <w:p w14:paraId="61D84DE6" w14:textId="6DDA1944" w:rsidR="00D349E5" w:rsidRDefault="00D349E5" w:rsidP="0096592A">
      <w:pPr>
        <w:spacing w:after="240"/>
      </w:pPr>
      <w:r>
        <w:rPr>
          <w:lang w:val="en-AU"/>
        </w:rPr>
        <w:t xml:space="preserve">Two policy guidelines apply to our assessment of P1053: </w:t>
      </w:r>
    </w:p>
    <w:p w14:paraId="4231497F" w14:textId="53DD082B" w:rsidR="00D349E5" w:rsidRDefault="00D349E5" w:rsidP="00614AF5">
      <w:pPr>
        <w:pStyle w:val="ListParagraph"/>
        <w:numPr>
          <w:ilvl w:val="0"/>
          <w:numId w:val="66"/>
        </w:numPr>
        <w:spacing w:after="240"/>
      </w:pPr>
      <w:r w:rsidRPr="002E7A54">
        <w:rPr>
          <w:i/>
        </w:rPr>
        <w:t>Ministerial Policy Guidelines on Food Safety Management in Australia: Food Safety Programs</w:t>
      </w:r>
      <w:r w:rsidRPr="00171679">
        <w:t xml:space="preserve"> (endorsed December 2003)</w:t>
      </w:r>
      <w:r>
        <w:t xml:space="preserve">. This identified high risk sectors that should be required to have a food safety program to manage risks. Identification was based on the </w:t>
      </w:r>
      <w:r w:rsidRPr="002E7A54">
        <w:rPr>
          <w:i/>
        </w:rPr>
        <w:t>National Risk Validation Project</w:t>
      </w:r>
      <w:r>
        <w:t xml:space="preserve"> using epidemiological data primarily from the 1990s. </w:t>
      </w:r>
      <w:r w:rsidRPr="00207707">
        <w:t xml:space="preserve">The four high risk </w:t>
      </w:r>
      <w:r>
        <w:t>sectors</w:t>
      </w:r>
      <w:r w:rsidRPr="00207707">
        <w:t xml:space="preserve"> included: food service to vulnerable populations</w:t>
      </w:r>
      <w:r>
        <w:t xml:space="preserve">, </w:t>
      </w:r>
      <w:r w:rsidRPr="00207707">
        <w:t>raw oysters and other bivalves</w:t>
      </w:r>
      <w:r>
        <w:t xml:space="preserve">, </w:t>
      </w:r>
      <w:r w:rsidRPr="00207707">
        <w:t>manufactured and fermented meat</w:t>
      </w:r>
      <w:r>
        <w:t>,</w:t>
      </w:r>
      <w:r w:rsidRPr="00207707">
        <w:t xml:space="preserve"> and catering </w:t>
      </w:r>
      <w:r w:rsidRPr="00207707">
        <w:lastRenderedPageBreak/>
        <w:t>operations to the general public</w:t>
      </w:r>
      <w:r>
        <w:t xml:space="preserve">. Standards have been gazetted requiring </w:t>
      </w:r>
      <w:r w:rsidR="005E6A98">
        <w:t xml:space="preserve">food safety programs </w:t>
      </w:r>
      <w:r>
        <w:t>in all sectors except the catering sector.</w:t>
      </w:r>
    </w:p>
    <w:p w14:paraId="1E43A600" w14:textId="590A1230" w:rsidR="00D349E5" w:rsidRDefault="00D349E5" w:rsidP="00614AF5">
      <w:pPr>
        <w:pStyle w:val="FSBullet"/>
        <w:numPr>
          <w:ilvl w:val="0"/>
          <w:numId w:val="66"/>
        </w:numPr>
        <w:spacing w:after="240"/>
      </w:pPr>
      <w:r w:rsidRPr="002E7A54">
        <w:rPr>
          <w:i/>
        </w:rPr>
        <w:t>Policy Guideline on Food Safety Management for General Food Service and Closely Related Retail Sectors</w:t>
      </w:r>
      <w:r w:rsidRPr="00171679">
        <w:t xml:space="preserve"> (endorsed November 2011). </w:t>
      </w:r>
      <w:r>
        <w:t xml:space="preserve">The 2011 guideline </w:t>
      </w:r>
      <w:r w:rsidRPr="001C02CA">
        <w:t>promote</w:t>
      </w:r>
      <w:r>
        <w:t>s</w:t>
      </w:r>
      <w:r w:rsidRPr="001C02CA">
        <w:t xml:space="preserve"> the use of </w:t>
      </w:r>
      <w:r>
        <w:t xml:space="preserve">a range of food safety management options, proportionate to risk, </w:t>
      </w:r>
      <w:r w:rsidRPr="001C02CA">
        <w:t xml:space="preserve">for Priority 1 and Priority 2 </w:t>
      </w:r>
      <w:r>
        <w:t xml:space="preserve">food service and retail </w:t>
      </w:r>
      <w:r w:rsidRPr="001C02CA">
        <w:t>food businesses</w:t>
      </w:r>
      <w:r>
        <w:t xml:space="preserve"> including </w:t>
      </w:r>
      <w:r w:rsidRPr="001C02CA">
        <w:t>additional food safety management tools between the baseline requirements of Standards 3.2.2 and 3.2.3 and a food safety program.</w:t>
      </w:r>
    </w:p>
    <w:p w14:paraId="6DE4E0B6" w14:textId="6DD5BA4F" w:rsidR="00D349E5" w:rsidRDefault="00D349E5" w:rsidP="0096592A">
      <w:pPr>
        <w:spacing w:after="240"/>
      </w:pPr>
      <w:r>
        <w:t>FSANZ has considered these guidelines in our assessment</w:t>
      </w:r>
      <w:r w:rsidR="004B6C70">
        <w:t xml:space="preserve"> and when assessing potential risk management options in the DRIS</w:t>
      </w:r>
      <w:r>
        <w:t>.</w:t>
      </w:r>
    </w:p>
    <w:p w14:paraId="34FB8569" w14:textId="6D4E3F72" w:rsidR="00C92E07" w:rsidRPr="002C1A3B" w:rsidRDefault="00C92E07" w:rsidP="0096592A">
      <w:pPr>
        <w:pStyle w:val="Heading1"/>
      </w:pPr>
      <w:bookmarkStart w:id="157" w:name="_Toc109300430"/>
      <w:r w:rsidRPr="002C1A3B">
        <w:t xml:space="preserve">Transitional </w:t>
      </w:r>
      <w:r w:rsidR="000B427A" w:rsidRPr="002C1A3B">
        <w:t>a</w:t>
      </w:r>
      <w:r w:rsidRPr="002C1A3B">
        <w:t>rrangements</w:t>
      </w:r>
      <w:bookmarkEnd w:id="135"/>
      <w:bookmarkEnd w:id="157"/>
    </w:p>
    <w:p w14:paraId="447E4591" w14:textId="5E4D5758" w:rsidR="00FF1344" w:rsidRPr="00255401" w:rsidRDefault="00FF1344" w:rsidP="0096592A">
      <w:pPr>
        <w:spacing w:after="240"/>
        <w:rPr>
          <w:b/>
          <w:bCs/>
        </w:rPr>
      </w:pPr>
      <w:bookmarkStart w:id="158" w:name="_Toc85785772"/>
      <w:bookmarkStart w:id="159" w:name="_Toc11735642"/>
      <w:bookmarkStart w:id="160" w:name="_Toc29883129"/>
      <w:bookmarkStart w:id="161" w:name="_Toc41906816"/>
      <w:bookmarkStart w:id="162" w:name="_Toc41907563"/>
      <w:bookmarkStart w:id="163" w:name="_Toc120358595"/>
      <w:bookmarkStart w:id="164" w:name="_Toc175381457"/>
      <w:r>
        <w:rPr>
          <w:lang w:val="en-AU"/>
        </w:rPr>
        <w:t>A</w:t>
      </w:r>
      <w:r w:rsidRPr="00255401">
        <w:rPr>
          <w:lang w:val="en-AU"/>
        </w:rPr>
        <w:t xml:space="preserve"> </w:t>
      </w:r>
      <w:r>
        <w:rPr>
          <w:lang w:val="en-AU"/>
        </w:rPr>
        <w:t xml:space="preserve">12-month </w:t>
      </w:r>
      <w:r w:rsidRPr="00255401">
        <w:rPr>
          <w:lang w:val="en-AU"/>
        </w:rPr>
        <w:t>implementation period</w:t>
      </w:r>
      <w:r>
        <w:rPr>
          <w:lang w:val="en-AU"/>
        </w:rPr>
        <w:t xml:space="preserve"> will be in effect from the date of </w:t>
      </w:r>
      <w:r w:rsidRPr="00255401">
        <w:rPr>
          <w:lang w:val="en-AU"/>
        </w:rPr>
        <w:t>gazettal</w:t>
      </w:r>
      <w:r>
        <w:rPr>
          <w:lang w:val="en-AU"/>
        </w:rPr>
        <w:t xml:space="preserve"> for the </w:t>
      </w:r>
      <w:r w:rsidR="001B4D0A">
        <w:rPr>
          <w:lang w:val="en-AU"/>
        </w:rPr>
        <w:t xml:space="preserve">approved </w:t>
      </w:r>
      <w:r>
        <w:rPr>
          <w:lang w:val="en-AU"/>
        </w:rPr>
        <w:t>draft standard. The standard will not commence or take effect until after this period</w:t>
      </w:r>
      <w:r w:rsidRPr="00255401">
        <w:rPr>
          <w:lang w:val="en-AU"/>
        </w:rPr>
        <w:t>.</w:t>
      </w:r>
      <w:bookmarkEnd w:id="158"/>
      <w:r w:rsidRPr="00FF1344">
        <w:t xml:space="preserve"> </w:t>
      </w:r>
      <w:r>
        <w:t xml:space="preserve">This means affected parties will have </w:t>
      </w:r>
      <w:r w:rsidRPr="002671C0">
        <w:t>12 months</w:t>
      </w:r>
      <w:r>
        <w:t xml:space="preserve"> from gazettal to prepare for implementation and enforcement of the new requirements.</w:t>
      </w:r>
    </w:p>
    <w:p w14:paraId="21A215DD" w14:textId="3FC1D78A" w:rsidR="00D349E5" w:rsidRDefault="00D349E5" w:rsidP="0096592A">
      <w:pPr>
        <w:spacing w:after="240"/>
      </w:pPr>
      <w:r w:rsidRPr="001E1FAB">
        <w:rPr>
          <w:color w:val="000000" w:themeColor="text1"/>
        </w:rPr>
        <w:t xml:space="preserve">The </w:t>
      </w:r>
      <w:r w:rsidR="00FF1344">
        <w:rPr>
          <w:color w:val="000000" w:themeColor="text1"/>
        </w:rPr>
        <w:t xml:space="preserve">approved </w:t>
      </w:r>
      <w:r w:rsidR="001B4D0A" w:rsidRPr="001E1FAB">
        <w:rPr>
          <w:color w:val="000000" w:themeColor="text1"/>
        </w:rPr>
        <w:t>d</w:t>
      </w:r>
      <w:r w:rsidR="001B4D0A">
        <w:rPr>
          <w:color w:val="000000" w:themeColor="text1"/>
        </w:rPr>
        <w:t xml:space="preserve">raft </w:t>
      </w:r>
      <w:r>
        <w:rPr>
          <w:color w:val="000000" w:themeColor="text1"/>
        </w:rPr>
        <w:t xml:space="preserve">standard </w:t>
      </w:r>
      <w:r>
        <w:rPr>
          <w:rFonts w:eastAsia="Calibri" w:cs="Arial"/>
          <w:bCs/>
          <w:szCs w:val="22"/>
          <w:lang w:val="en-AU" w:bidi="ar-SA"/>
        </w:rPr>
        <w:t xml:space="preserve">and consequential variation are </w:t>
      </w:r>
      <w:r w:rsidRPr="001E1FAB">
        <w:rPr>
          <w:color w:val="000000" w:themeColor="text1"/>
        </w:rPr>
        <w:t>at Attachment A</w:t>
      </w:r>
      <w:r>
        <w:rPr>
          <w:color w:val="000000" w:themeColor="text1"/>
        </w:rPr>
        <w:t xml:space="preserve">. </w:t>
      </w:r>
      <w:r w:rsidR="0090635C">
        <w:rPr>
          <w:color w:val="000000" w:themeColor="text1"/>
        </w:rPr>
        <w:t xml:space="preserve">There were no amendments made to either draft variation provided in the CFS. </w:t>
      </w:r>
      <w:r w:rsidR="00FF1344">
        <w:rPr>
          <w:color w:val="000000" w:themeColor="text1"/>
        </w:rPr>
        <w:t>An e</w:t>
      </w:r>
      <w:r>
        <w:t xml:space="preserve">xplanatory statement </w:t>
      </w:r>
      <w:r w:rsidR="00FF1344">
        <w:t xml:space="preserve">for the standard </w:t>
      </w:r>
      <w:r>
        <w:t xml:space="preserve">to the </w:t>
      </w:r>
      <w:r>
        <w:rPr>
          <w:rFonts w:eastAsia="Calibri" w:cs="Arial"/>
          <w:bCs/>
          <w:szCs w:val="22"/>
          <w:lang w:val="en-AU" w:bidi="ar-SA"/>
        </w:rPr>
        <w:t>draft Standard and the consequential variation</w:t>
      </w:r>
      <w:r w:rsidR="00104EB3">
        <w:rPr>
          <w:rFonts w:eastAsia="Calibri" w:cs="Arial"/>
          <w:bCs/>
          <w:szCs w:val="22"/>
          <w:lang w:val="en-AU" w:bidi="ar-SA"/>
        </w:rPr>
        <w:t xml:space="preserve"> </w:t>
      </w:r>
      <w:r w:rsidR="00FF1344">
        <w:t>is provided</w:t>
      </w:r>
      <w:r>
        <w:rPr>
          <w:rFonts w:eastAsia="Calibri" w:cs="Arial"/>
          <w:bCs/>
          <w:szCs w:val="22"/>
          <w:lang w:val="en-AU" w:bidi="ar-SA"/>
        </w:rPr>
        <w:t xml:space="preserve"> </w:t>
      </w:r>
      <w:r>
        <w:t xml:space="preserve">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37736DD3" w14:textId="6D0391CB" w:rsidR="0012388D" w:rsidRPr="004B6C70" w:rsidRDefault="003C4969" w:rsidP="0096592A">
      <w:pPr>
        <w:pStyle w:val="Heading1"/>
        <w:ind w:left="0" w:firstLine="0"/>
      </w:pPr>
      <w:bookmarkStart w:id="165" w:name="_Toc109300431"/>
      <w:r w:rsidRPr="004B6C70">
        <w:t>Implementation</w:t>
      </w:r>
      <w:bookmarkEnd w:id="165"/>
      <w:r w:rsidRPr="004B6C70">
        <w:t xml:space="preserve"> </w:t>
      </w:r>
      <w:bookmarkEnd w:id="159"/>
      <w:bookmarkEnd w:id="160"/>
      <w:bookmarkEnd w:id="161"/>
      <w:bookmarkEnd w:id="162"/>
      <w:bookmarkEnd w:id="163"/>
      <w:bookmarkEnd w:id="164"/>
    </w:p>
    <w:p w14:paraId="31E1CA7F" w14:textId="6407F6C6" w:rsidR="00BC4E05" w:rsidRDefault="00BC4E05" w:rsidP="0096592A">
      <w:pPr>
        <w:spacing w:after="240"/>
        <w:rPr>
          <w:rFonts w:cs="Arial"/>
          <w:lang w:val="en-AU"/>
        </w:rPr>
      </w:pPr>
      <w:r w:rsidRPr="4BF32F5B">
        <w:rPr>
          <w:rFonts w:cs="Arial"/>
          <w:lang w:val="en-AU"/>
        </w:rPr>
        <w:t>FSANZ had regard to implementation costs in its assessment</w:t>
      </w:r>
      <w:r w:rsidR="004A0FE0" w:rsidRPr="4BF32F5B">
        <w:rPr>
          <w:rFonts w:cs="Arial"/>
          <w:lang w:val="en-AU"/>
        </w:rPr>
        <w:t xml:space="preserve"> - </w:t>
      </w:r>
      <w:r w:rsidR="00835B22" w:rsidRPr="4BF32F5B">
        <w:rPr>
          <w:rFonts w:cs="Arial"/>
          <w:lang w:val="en-AU"/>
        </w:rPr>
        <w:t xml:space="preserve">See, for example, section 2.6.1.1 of this report and </w:t>
      </w:r>
      <w:r w:rsidR="001B4D0A" w:rsidRPr="4BF32F5B">
        <w:rPr>
          <w:rFonts w:cs="Arial"/>
          <w:lang w:val="en-AU"/>
        </w:rPr>
        <w:t xml:space="preserve">the </w:t>
      </w:r>
      <w:r w:rsidRPr="4BF32F5B">
        <w:rPr>
          <w:rFonts w:cs="Arial"/>
          <w:lang w:val="en-AU"/>
        </w:rPr>
        <w:t>DRIS</w:t>
      </w:r>
      <w:r w:rsidR="001B4D0A" w:rsidRPr="4BF32F5B">
        <w:rPr>
          <w:rFonts w:cs="Arial"/>
          <w:lang w:val="en-AU"/>
        </w:rPr>
        <w:t xml:space="preserve"> (</w:t>
      </w:r>
      <w:r w:rsidR="004B6C70" w:rsidRPr="4BF32F5B">
        <w:rPr>
          <w:rFonts w:cs="Arial"/>
          <w:lang w:val="en-AU"/>
        </w:rPr>
        <w:t xml:space="preserve">and </w:t>
      </w:r>
      <w:hyperlink w:anchor="_Appendix_1_–">
        <w:r w:rsidR="004B6C70" w:rsidRPr="4BF32F5B">
          <w:rPr>
            <w:rStyle w:val="Hyperlink"/>
            <w:rFonts w:cs="Arial"/>
            <w:lang w:val="en-AU"/>
          </w:rPr>
          <w:t>cost-benefit analysis</w:t>
        </w:r>
      </w:hyperlink>
      <w:r w:rsidR="000C7717" w:rsidRPr="4BF32F5B">
        <w:rPr>
          <w:rFonts w:cs="Arial"/>
          <w:lang w:val="en-AU"/>
        </w:rPr>
        <w:t xml:space="preserve"> within it</w:t>
      </w:r>
      <w:r w:rsidR="004A0FE0" w:rsidRPr="4BF32F5B">
        <w:rPr>
          <w:rFonts w:cs="Arial"/>
          <w:lang w:val="en-AU"/>
        </w:rPr>
        <w:t>) at</w:t>
      </w:r>
      <w:r w:rsidR="001B4D0A" w:rsidRPr="4BF32F5B">
        <w:rPr>
          <w:rFonts w:cs="Arial"/>
          <w:lang w:val="en-AU"/>
        </w:rPr>
        <w:t xml:space="preserve"> Attachment C</w:t>
      </w:r>
      <w:r w:rsidRPr="4BF32F5B">
        <w:rPr>
          <w:rFonts w:cs="Arial"/>
          <w:lang w:val="en-AU"/>
        </w:rPr>
        <w:t xml:space="preserve">. </w:t>
      </w:r>
    </w:p>
    <w:p w14:paraId="4CDE9225" w14:textId="1A9E02FF" w:rsidR="00941144" w:rsidRDefault="00BC4E05" w:rsidP="0096592A">
      <w:pPr>
        <w:spacing w:after="240"/>
        <w:rPr>
          <w:rFonts w:cs="Arial"/>
          <w:lang w:eastAsia="en-GB"/>
        </w:rPr>
      </w:pPr>
      <w:r>
        <w:rPr>
          <w:lang w:val="en-AU"/>
        </w:rPr>
        <w:t xml:space="preserve">Implementation of the standards is the responsibility of the states and territories. </w:t>
      </w:r>
      <w:r w:rsidR="0090635C">
        <w:rPr>
          <w:rFonts w:cs="Arial"/>
          <w:lang w:val="en-AU"/>
        </w:rPr>
        <w:t xml:space="preserve">How the approved draft standard is implemented remains a matter for the jurisdictions to determine. </w:t>
      </w:r>
      <w:hyperlink r:id="rId36" w:history="1">
        <w:r w:rsidRPr="00582EC1">
          <w:rPr>
            <w:rStyle w:val="Hyperlink"/>
            <w:lang w:val="en-AU"/>
          </w:rPr>
          <w:t>ISFR</w:t>
        </w:r>
      </w:hyperlink>
      <w:r>
        <w:rPr>
          <w:lang w:val="en-AU"/>
        </w:rPr>
        <w:t xml:space="preserve"> facilitates the consistent national implementation of standards by developing agreed approaches and compliance materials. </w:t>
      </w:r>
      <w:r>
        <w:t>The</w:t>
      </w:r>
      <w:r>
        <w:rPr>
          <w:rFonts w:cs="Arial"/>
          <w:lang w:eastAsia="en-GB"/>
        </w:rPr>
        <w:t xml:space="preserve"> </w:t>
      </w:r>
      <w:r w:rsidRPr="00BD49EA">
        <w:rPr>
          <w:rFonts w:cs="Arial"/>
          <w:lang w:eastAsia="en-GB"/>
        </w:rPr>
        <w:t xml:space="preserve">IWG established by </w:t>
      </w:r>
      <w:r w:rsidRPr="00BD49EA">
        <w:t>ISFR</w:t>
      </w:r>
      <w:r>
        <w:rPr>
          <w:rFonts w:cs="Arial"/>
          <w:lang w:eastAsia="en-GB"/>
        </w:rPr>
        <w:t xml:space="preserve"> for this proposal</w:t>
      </w:r>
      <w:r w:rsidR="00582EC1">
        <w:rPr>
          <w:rFonts w:cs="Arial"/>
          <w:lang w:eastAsia="en-GB"/>
        </w:rPr>
        <w:t xml:space="preserve"> </w:t>
      </w:r>
      <w:r>
        <w:rPr>
          <w:rFonts w:cs="Arial"/>
          <w:lang w:eastAsia="en-GB"/>
        </w:rPr>
        <w:t xml:space="preserve">progressed work using the </w:t>
      </w:r>
      <w:hyperlink r:id="rId37" w:history="1">
        <w:r w:rsidRPr="00DA545F">
          <w:rPr>
            <w:rStyle w:val="Hyperlink"/>
            <w:rFonts w:cs="Arial"/>
            <w:lang w:eastAsia="en-GB"/>
          </w:rPr>
          <w:t>Integrated Model for Standards Development and Consistent Implementation of Primary Production and Processing Standards</w:t>
        </w:r>
      </w:hyperlink>
      <w:r>
        <w:rPr>
          <w:rFonts w:cs="Arial"/>
          <w:lang w:eastAsia="en-GB"/>
        </w:rPr>
        <w:t xml:space="preserve">. </w:t>
      </w:r>
    </w:p>
    <w:p w14:paraId="4B76A117" w14:textId="196A3114" w:rsidR="00941144" w:rsidRDefault="09262755" w:rsidP="0096592A">
      <w:pPr>
        <w:spacing w:after="240"/>
        <w:rPr>
          <w:rFonts w:cs="Arial"/>
          <w:lang w:val="en-AU"/>
        </w:rPr>
      </w:pPr>
      <w:r w:rsidRPr="342FFC39">
        <w:rPr>
          <w:rFonts w:cs="Arial"/>
        </w:rPr>
        <w:t>Th</w:t>
      </w:r>
      <w:r w:rsidR="71973B8C" w:rsidRPr="342FFC39">
        <w:rPr>
          <w:rFonts w:cs="Arial"/>
        </w:rPr>
        <w:t>e integrated</w:t>
      </w:r>
      <w:r w:rsidR="5F830661" w:rsidRPr="342FFC39">
        <w:rPr>
          <w:rFonts w:cs="Arial"/>
        </w:rPr>
        <w:t xml:space="preserve"> </w:t>
      </w:r>
      <w:r w:rsidRPr="342FFC39">
        <w:rPr>
          <w:rFonts w:cs="Arial"/>
        </w:rPr>
        <w:t xml:space="preserve">model ensures guidance is readily available on how </w:t>
      </w:r>
      <w:r w:rsidR="47E55186" w:rsidRPr="342FFC39">
        <w:rPr>
          <w:rFonts w:cs="Arial"/>
        </w:rPr>
        <w:t xml:space="preserve">a </w:t>
      </w:r>
      <w:r w:rsidRPr="342FFC39">
        <w:rPr>
          <w:rFonts w:cs="Arial"/>
        </w:rPr>
        <w:t>proposed standard might be implemented</w:t>
      </w:r>
      <w:r w:rsidR="71973B8C" w:rsidRPr="342FFC39">
        <w:rPr>
          <w:rFonts w:cs="Arial"/>
          <w:lang w:val="en-AU"/>
        </w:rPr>
        <w:t xml:space="preserve"> consistently at a national level</w:t>
      </w:r>
      <w:r w:rsidRPr="342FFC39">
        <w:rPr>
          <w:rFonts w:cs="Arial"/>
        </w:rPr>
        <w:t xml:space="preserve">. </w:t>
      </w:r>
      <w:r w:rsidR="5F830661" w:rsidRPr="342FFC39">
        <w:rPr>
          <w:rStyle w:val="normaltextrun"/>
          <w:rFonts w:cs="Arial"/>
        </w:rPr>
        <w:t>The</w:t>
      </w:r>
      <w:r w:rsidRPr="342FFC39">
        <w:rPr>
          <w:rStyle w:val="normaltextrun"/>
          <w:rFonts w:cs="Arial"/>
        </w:rPr>
        <w:t xml:space="preserve"> IWG develop</w:t>
      </w:r>
      <w:r w:rsidR="5F830661" w:rsidRPr="342FFC39">
        <w:rPr>
          <w:rStyle w:val="normaltextrun"/>
          <w:rFonts w:cs="Arial"/>
        </w:rPr>
        <w:t>ed</w:t>
      </w:r>
      <w:r w:rsidRPr="342FFC39">
        <w:rPr>
          <w:rStyle w:val="normaltextrun"/>
          <w:rFonts w:cs="Arial"/>
        </w:rPr>
        <w:t xml:space="preserve"> </w:t>
      </w:r>
      <w:r w:rsidR="47E55186" w:rsidRPr="342FFC39">
        <w:rPr>
          <w:rStyle w:val="normaltextrun"/>
          <w:rFonts w:cs="Arial"/>
        </w:rPr>
        <w:t xml:space="preserve">draft </w:t>
      </w:r>
      <w:r w:rsidRPr="342FFC39">
        <w:rPr>
          <w:rStyle w:val="normaltextrun"/>
          <w:rFonts w:cs="Arial"/>
        </w:rPr>
        <w:t xml:space="preserve">guidance </w:t>
      </w:r>
      <w:r w:rsidR="5F830661" w:rsidRPr="342FFC39">
        <w:rPr>
          <w:rStyle w:val="normaltextrun"/>
          <w:rFonts w:cs="Arial"/>
        </w:rPr>
        <w:t xml:space="preserve">for P1053 </w:t>
      </w:r>
      <w:r w:rsidRPr="342FFC39">
        <w:rPr>
          <w:rStyle w:val="normaltextrun"/>
          <w:rFonts w:cs="Arial"/>
        </w:rPr>
        <w:t xml:space="preserve">to </w:t>
      </w:r>
      <w:r w:rsidRPr="342FFC39">
        <w:rPr>
          <w:rFonts w:cs="Arial"/>
          <w:lang w:val="en-AU"/>
        </w:rPr>
        <w:t xml:space="preserve">assist businesses and regulators to understand </w:t>
      </w:r>
      <w:r w:rsidR="71973B8C" w:rsidRPr="342FFC39">
        <w:rPr>
          <w:rFonts w:cs="Arial"/>
          <w:lang w:val="en-AU"/>
        </w:rPr>
        <w:t xml:space="preserve">what </w:t>
      </w:r>
      <w:r w:rsidRPr="342FFC39">
        <w:rPr>
          <w:rFonts w:cs="Arial"/>
          <w:lang w:val="en-AU"/>
        </w:rPr>
        <w:t>the standard</w:t>
      </w:r>
      <w:r w:rsidR="47E55186" w:rsidRPr="342FFC39">
        <w:rPr>
          <w:lang w:val="en-AU"/>
        </w:rPr>
        <w:t>—if endorsed by the Food Ministers’ Meeting—</w:t>
      </w:r>
      <w:r w:rsidRPr="342FFC39">
        <w:rPr>
          <w:rFonts w:cs="Arial"/>
          <w:lang w:val="en-AU"/>
        </w:rPr>
        <w:t xml:space="preserve">might </w:t>
      </w:r>
      <w:r w:rsidR="71973B8C" w:rsidRPr="342FFC39">
        <w:rPr>
          <w:rFonts w:cs="Arial"/>
          <w:lang w:val="en-AU"/>
        </w:rPr>
        <w:t>look like at a practical level</w:t>
      </w:r>
      <w:r w:rsidRPr="342FFC39">
        <w:rPr>
          <w:rFonts w:cs="Arial"/>
          <w:lang w:val="en-AU"/>
        </w:rPr>
        <w:t xml:space="preserve">. </w:t>
      </w:r>
      <w:r w:rsidR="47E55186" w:rsidRPr="342FFC39">
        <w:rPr>
          <w:rFonts w:cs="Arial"/>
          <w:lang w:val="en-AU"/>
        </w:rPr>
        <w:t>T</w:t>
      </w:r>
      <w:r w:rsidRPr="342FFC39">
        <w:rPr>
          <w:rFonts w:cs="Arial"/>
          <w:lang w:val="en-AU"/>
        </w:rPr>
        <w:t xml:space="preserve">his guidance was provided </w:t>
      </w:r>
      <w:r w:rsidR="5F830661" w:rsidRPr="342FFC39">
        <w:rPr>
          <w:rFonts w:cs="Arial"/>
          <w:lang w:val="en-AU"/>
        </w:rPr>
        <w:t xml:space="preserve">for </w:t>
      </w:r>
      <w:r w:rsidR="71973B8C" w:rsidRPr="342FFC39">
        <w:rPr>
          <w:rFonts w:cs="Arial"/>
          <w:lang w:val="en-AU"/>
        </w:rPr>
        <w:t>stakeholder feedback</w:t>
      </w:r>
      <w:r w:rsidR="5F830661" w:rsidRPr="342FFC39">
        <w:rPr>
          <w:rFonts w:cs="Arial"/>
          <w:lang w:val="en-AU"/>
        </w:rPr>
        <w:t xml:space="preserve"> </w:t>
      </w:r>
      <w:r w:rsidRPr="342FFC39">
        <w:rPr>
          <w:rFonts w:cs="Arial"/>
          <w:lang w:val="en-AU"/>
        </w:rPr>
        <w:t>with the CFS report</w:t>
      </w:r>
      <w:r w:rsidR="5F830661" w:rsidRPr="342FFC39">
        <w:rPr>
          <w:rFonts w:cs="Arial"/>
          <w:lang w:val="en-AU"/>
        </w:rPr>
        <w:t xml:space="preserve">. </w:t>
      </w:r>
      <w:r w:rsidR="47E55186" w:rsidRPr="342FFC39">
        <w:rPr>
          <w:rFonts w:cs="Arial"/>
          <w:lang w:eastAsia="en-GB"/>
        </w:rPr>
        <w:t xml:space="preserve">Relevant </w:t>
      </w:r>
      <w:r w:rsidR="71973B8C" w:rsidRPr="342FFC39">
        <w:rPr>
          <w:rFonts w:cs="Arial"/>
          <w:lang w:eastAsia="en-GB"/>
        </w:rPr>
        <w:t xml:space="preserve">stakeholder </w:t>
      </w:r>
      <w:r w:rsidR="47E55186" w:rsidRPr="342FFC39">
        <w:rPr>
          <w:rFonts w:cs="Arial"/>
          <w:lang w:eastAsia="en-GB"/>
        </w:rPr>
        <w:t xml:space="preserve">submissions have been shared with the IWG for their consideration. </w:t>
      </w:r>
      <w:r w:rsidR="5F830661" w:rsidRPr="342FFC39">
        <w:rPr>
          <w:rFonts w:cs="Arial"/>
          <w:lang w:val="en-AU"/>
        </w:rPr>
        <w:t>ISFR has agreed</w:t>
      </w:r>
      <w:r w:rsidRPr="342FFC39">
        <w:rPr>
          <w:rFonts w:cs="Arial"/>
          <w:lang w:val="en-AU"/>
        </w:rPr>
        <w:t xml:space="preserve"> </w:t>
      </w:r>
      <w:r w:rsidR="006178BC">
        <w:rPr>
          <w:rFonts w:cs="Arial"/>
          <w:lang w:val="en-AU"/>
        </w:rPr>
        <w:t xml:space="preserve">that, if Ministers endorse the approved draft Standard, </w:t>
      </w:r>
      <w:r w:rsidRPr="342FFC39">
        <w:rPr>
          <w:rFonts w:cs="Arial"/>
          <w:lang w:val="en-AU"/>
        </w:rPr>
        <w:t xml:space="preserve">a final version </w:t>
      </w:r>
      <w:r w:rsidR="5F830661" w:rsidRPr="342FFC39">
        <w:rPr>
          <w:rFonts w:cs="Arial"/>
          <w:lang w:val="en-AU"/>
        </w:rPr>
        <w:t xml:space="preserve">of the guidance </w:t>
      </w:r>
      <w:r w:rsidRPr="342FFC39">
        <w:rPr>
          <w:rFonts w:cs="Arial"/>
          <w:lang w:val="en-AU"/>
        </w:rPr>
        <w:t xml:space="preserve">will be </w:t>
      </w:r>
      <w:r w:rsidR="47E55186" w:rsidRPr="342FFC39">
        <w:rPr>
          <w:rFonts w:cs="Arial"/>
          <w:lang w:val="en-AU"/>
        </w:rPr>
        <w:t xml:space="preserve">incorporated </w:t>
      </w:r>
      <w:r w:rsidRPr="342FFC39">
        <w:rPr>
          <w:rFonts w:cs="Arial"/>
          <w:lang w:val="en-AU"/>
        </w:rPr>
        <w:t>in</w:t>
      </w:r>
      <w:r w:rsidR="47E55186" w:rsidRPr="342FFC39">
        <w:rPr>
          <w:rFonts w:cs="Arial"/>
          <w:lang w:val="en-AU"/>
        </w:rPr>
        <w:t>to</w:t>
      </w:r>
      <w:r w:rsidRPr="342FFC39">
        <w:rPr>
          <w:rFonts w:cs="Arial"/>
          <w:lang w:val="en-AU"/>
        </w:rPr>
        <w:t xml:space="preserve"> </w:t>
      </w:r>
      <w:r w:rsidR="71973B8C" w:rsidRPr="342FFC39">
        <w:rPr>
          <w:rFonts w:cs="Arial"/>
          <w:lang w:val="en-AU"/>
        </w:rPr>
        <w:t xml:space="preserve">FSANZ’s </w:t>
      </w:r>
      <w:r w:rsidRPr="342FFC39">
        <w:rPr>
          <w:rFonts w:cs="Arial"/>
          <w:lang w:val="en-AU"/>
        </w:rPr>
        <w:t>Safe Food Australia: the guide to Chapter 3 standards.</w:t>
      </w:r>
    </w:p>
    <w:p w14:paraId="531E6DF9" w14:textId="251DD1CF" w:rsidR="001122EC" w:rsidRPr="00A94813" w:rsidRDefault="001122EC" w:rsidP="0096592A">
      <w:pPr>
        <w:pStyle w:val="Heading1"/>
      </w:pPr>
      <w:bookmarkStart w:id="166" w:name="_Toc109300432"/>
      <w:bookmarkStart w:id="167" w:name="_Toc11735643"/>
      <w:bookmarkStart w:id="168" w:name="_Toc29883130"/>
      <w:bookmarkStart w:id="169" w:name="_Toc41906817"/>
      <w:bookmarkStart w:id="170" w:name="_Toc41907564"/>
      <w:bookmarkStart w:id="171" w:name="_Toc43112360"/>
      <w:r w:rsidRPr="00A94813">
        <w:t>R</w:t>
      </w:r>
      <w:r w:rsidR="000B427A" w:rsidRPr="00A94813">
        <w:t>eferences</w:t>
      </w:r>
      <w:bookmarkEnd w:id="166"/>
    </w:p>
    <w:p w14:paraId="3ABDDB6F" w14:textId="2BA53DB1" w:rsidR="006261DD" w:rsidRDefault="006261DD" w:rsidP="0096592A">
      <w:pPr>
        <w:rPr>
          <w:color w:val="00B050"/>
          <w:szCs w:val="20"/>
        </w:rPr>
      </w:pPr>
      <w:r w:rsidRPr="00317507">
        <w:t xml:space="preserve">Ross T., </w:t>
      </w:r>
      <w:proofErr w:type="spellStart"/>
      <w:r w:rsidRPr="00317507">
        <w:t>Mellefont</w:t>
      </w:r>
      <w:proofErr w:type="spellEnd"/>
      <w:r w:rsidRPr="00317507">
        <w:t xml:space="preserve"> L., </w:t>
      </w:r>
      <w:proofErr w:type="spellStart"/>
      <w:r w:rsidRPr="00317507">
        <w:t>McQuestin</w:t>
      </w:r>
      <w:proofErr w:type="spellEnd"/>
      <w:r w:rsidRPr="00317507">
        <w:t xml:space="preserve"> O., Haines H., Smith J., 2009. Risk Profiling Framework Example Classifications (Extracts), prepared for Department </w:t>
      </w:r>
      <w:r>
        <w:t xml:space="preserve">of Health and Ageing, Canberra. </w:t>
      </w:r>
      <w:hyperlink r:id="rId38" w:history="1">
        <w:r w:rsidR="0096592A" w:rsidRPr="00ED7914">
          <w:rPr>
            <w:rStyle w:val="Hyperlink"/>
            <w:sz w:val="20"/>
          </w:rPr>
          <w:t>https://www1.health.gov.au/internet/fr/publishing.nsf/Content/37F08208FAC6F504CA2582A40027AA</w:t>
        </w:r>
        <w:r w:rsidR="0096592A" w:rsidRPr="00ED7914">
          <w:rPr>
            <w:rStyle w:val="Hyperlink"/>
            <w:sz w:val="20"/>
          </w:rPr>
          <w:lastRenderedPageBreak/>
          <w:t>90/$File/FRSC-RPF-ECE.pdf</w:t>
        </w:r>
      </w:hyperlink>
      <w:r>
        <w:t xml:space="preserve"> </w:t>
      </w:r>
      <w:r w:rsidRPr="00317507">
        <w:t xml:space="preserve">Accessed </w:t>
      </w:r>
      <w:r>
        <w:t>May 2022</w:t>
      </w:r>
    </w:p>
    <w:p w14:paraId="7BF28061" w14:textId="77777777" w:rsidR="0012388D" w:rsidRDefault="00D15A08" w:rsidP="0096592A">
      <w:pPr>
        <w:pStyle w:val="Heading1"/>
        <w:numPr>
          <w:ilvl w:val="0"/>
          <w:numId w:val="0"/>
        </w:numPr>
        <w:ind w:left="432" w:hanging="432"/>
      </w:pPr>
      <w:bookmarkStart w:id="172" w:name="_Toc109300433"/>
      <w:r w:rsidRPr="006C22A7">
        <w:t>A</w:t>
      </w:r>
      <w:bookmarkEnd w:id="167"/>
      <w:bookmarkEnd w:id="168"/>
      <w:bookmarkEnd w:id="169"/>
      <w:bookmarkEnd w:id="170"/>
      <w:bookmarkEnd w:id="171"/>
      <w:r w:rsidR="00B21055">
        <w:t>ttachments</w:t>
      </w:r>
      <w:bookmarkEnd w:id="172"/>
    </w:p>
    <w:p w14:paraId="64F63ED0" w14:textId="310376F6" w:rsidR="00795D86" w:rsidRDefault="00755F02" w:rsidP="002E7A54">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286E577E" w14:textId="77777777" w:rsidR="00317507" w:rsidRDefault="00456BD5" w:rsidP="002E7A54">
      <w:pPr>
        <w:ind w:left="567" w:hanging="567"/>
      </w:pPr>
      <w:r w:rsidRPr="00456BD5">
        <w:t>B</w:t>
      </w:r>
      <w:r w:rsidR="00755F02" w:rsidRPr="00456BD5">
        <w:t>.</w:t>
      </w:r>
      <w:r w:rsidR="00755F02" w:rsidRPr="00456BD5">
        <w:tab/>
      </w:r>
      <w:r w:rsidR="00941144">
        <w:t xml:space="preserve">Approved </w:t>
      </w:r>
      <w:r>
        <w:t xml:space="preserve">Explanatory Statement </w:t>
      </w:r>
    </w:p>
    <w:p w14:paraId="13763915" w14:textId="1A3AD05F" w:rsidR="003C4969" w:rsidRDefault="00317507" w:rsidP="002E7A54">
      <w:pPr>
        <w:ind w:left="567" w:hanging="567"/>
      </w:pPr>
      <w:r>
        <w:t>C.</w:t>
      </w:r>
      <w:r>
        <w:tab/>
      </w:r>
      <w:r w:rsidR="00795D86" w:rsidRPr="00317507">
        <w:t>Regulat</w:t>
      </w:r>
      <w:r w:rsidR="0063455F" w:rsidRPr="00317507">
        <w:t>ion</w:t>
      </w:r>
      <w:r w:rsidR="00795D86" w:rsidRPr="00317507">
        <w:t xml:space="preserve"> I</w:t>
      </w:r>
      <w:r w:rsidR="00410C76" w:rsidRPr="00317507">
        <w:t>mpact Statement</w:t>
      </w:r>
    </w:p>
    <w:p w14:paraId="5D58944B" w14:textId="31E81AD5" w:rsidR="008962CE" w:rsidRDefault="008962CE" w:rsidP="002E7A54">
      <w:pPr>
        <w:ind w:left="567" w:hanging="567"/>
      </w:pPr>
      <w:r>
        <w:t xml:space="preserve">D. </w:t>
      </w:r>
      <w:r>
        <w:tab/>
        <w:t>Summary of submissions to the Call for Submission report</w:t>
      </w:r>
    </w:p>
    <w:p w14:paraId="3978A2EF" w14:textId="68A50481" w:rsidR="00456BD5" w:rsidRPr="0096592A" w:rsidRDefault="0096592A" w:rsidP="008D00F2">
      <w:pPr>
        <w:pStyle w:val="Heading1"/>
        <w:numPr>
          <w:ilvl w:val="0"/>
          <w:numId w:val="0"/>
        </w:numPr>
        <w:ind w:left="432" w:hanging="432"/>
        <w:rPr>
          <w:color w:val="FF0000"/>
        </w:rPr>
      </w:pPr>
      <w:r>
        <w:rPr>
          <w:color w:val="FF0000"/>
        </w:rPr>
        <w:br w:type="page"/>
      </w:r>
      <w:bookmarkStart w:id="173" w:name="_Toc29883131"/>
      <w:bookmarkStart w:id="174" w:name="_Toc41906818"/>
      <w:bookmarkStart w:id="175" w:name="_Toc41907565"/>
      <w:bookmarkStart w:id="176" w:name="_Toc120358596"/>
      <w:bookmarkStart w:id="177" w:name="_Toc175381458"/>
      <w:bookmarkStart w:id="178" w:name="_Toc11735644"/>
      <w:bookmarkStart w:id="179" w:name="_Toc109300434"/>
      <w:r w:rsidR="003C4969" w:rsidRPr="008D00F2">
        <w:rPr>
          <w:rFonts w:cs="Arial"/>
          <w:sz w:val="28"/>
          <w:szCs w:val="22"/>
        </w:rPr>
        <w:lastRenderedPageBreak/>
        <w:t xml:space="preserve">Attachment </w:t>
      </w:r>
      <w:bookmarkEnd w:id="173"/>
      <w:bookmarkEnd w:id="174"/>
      <w:bookmarkEnd w:id="175"/>
      <w:bookmarkEnd w:id="176"/>
      <w:bookmarkEnd w:id="177"/>
      <w:r w:rsidR="00456B54" w:rsidRPr="008D00F2">
        <w:rPr>
          <w:rFonts w:cs="Arial"/>
          <w:sz w:val="28"/>
          <w:szCs w:val="22"/>
        </w:rPr>
        <w:t>A</w:t>
      </w:r>
      <w:bookmarkStart w:id="180" w:name="_Toc120358597"/>
      <w:bookmarkStart w:id="181" w:name="_Toc175381459"/>
      <w:bookmarkEnd w:id="178"/>
      <w:r w:rsidR="00755F02" w:rsidRPr="008D00F2">
        <w:rPr>
          <w:rFonts w:cs="Arial"/>
          <w:sz w:val="28"/>
          <w:szCs w:val="22"/>
        </w:rPr>
        <w:t xml:space="preserve"> –</w:t>
      </w:r>
      <w:bookmarkStart w:id="182" w:name="_Toc120358598"/>
      <w:bookmarkStart w:id="183" w:name="_Toc175381460"/>
      <w:bookmarkEnd w:id="180"/>
      <w:bookmarkEnd w:id="181"/>
      <w:r w:rsidR="005E06C0" w:rsidRPr="008D00F2">
        <w:rPr>
          <w:rFonts w:cs="Arial"/>
          <w:sz w:val="28"/>
          <w:szCs w:val="22"/>
        </w:rPr>
        <w:t xml:space="preserve"> </w:t>
      </w:r>
      <w:r w:rsidR="00456BD5" w:rsidRPr="008D00F2">
        <w:rPr>
          <w:rFonts w:cs="Arial"/>
          <w:sz w:val="28"/>
          <w:szCs w:val="22"/>
        </w:rPr>
        <w:t>Approved draft variations to the Australia New Zealand Food Standards Code</w:t>
      </w:r>
      <w:bookmarkEnd w:id="179"/>
    </w:p>
    <w:p w14:paraId="70ED31C8" w14:textId="77777777" w:rsidR="00280892" w:rsidRPr="00CF4050" w:rsidRDefault="00280892" w:rsidP="00280892">
      <w:pPr>
        <w:rPr>
          <w:lang w:bidi="ar-SA"/>
        </w:rPr>
      </w:pPr>
    </w:p>
    <w:p w14:paraId="569BBBAB" w14:textId="77777777" w:rsidR="00280892" w:rsidRPr="00C0014E" w:rsidRDefault="00280892" w:rsidP="00280892">
      <w:pPr>
        <w:rPr>
          <w:noProof/>
          <w:sz w:val="20"/>
          <w:lang w:val="en-AU" w:eastAsia="en-AU"/>
        </w:rPr>
      </w:pPr>
      <w:r w:rsidRPr="00C0014E">
        <w:rPr>
          <w:noProof/>
          <w:sz w:val="20"/>
          <w:lang w:eastAsia="en-GB" w:bidi="ar-SA"/>
        </w:rPr>
        <w:drawing>
          <wp:inline distT="0" distB="0" distL="0" distR="0" wp14:anchorId="1743EBE1" wp14:editId="23BCC86B">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F7B6C42" w14:textId="77777777" w:rsidR="00280892" w:rsidRPr="008F1620" w:rsidRDefault="00280892" w:rsidP="00280892">
      <w:pPr>
        <w:rPr>
          <w:sz w:val="20"/>
        </w:rPr>
      </w:pPr>
    </w:p>
    <w:p w14:paraId="2CF4F15A" w14:textId="77777777" w:rsidR="00280892" w:rsidRPr="002A7834" w:rsidRDefault="00280892" w:rsidP="00280892">
      <w:pPr>
        <w:pBdr>
          <w:bottom w:val="single" w:sz="4" w:space="1" w:color="auto"/>
        </w:pBdr>
        <w:rPr>
          <w:b/>
          <w:sz w:val="20"/>
        </w:rPr>
      </w:pPr>
      <w:r w:rsidRPr="002A7834">
        <w:rPr>
          <w:b/>
          <w:sz w:val="20"/>
        </w:rPr>
        <w:t xml:space="preserve">Food Standards </w:t>
      </w:r>
      <w:r>
        <w:rPr>
          <w:b/>
          <w:sz w:val="20"/>
        </w:rPr>
        <w:t>(</w:t>
      </w:r>
      <w:r w:rsidRPr="002A7834">
        <w:rPr>
          <w:b/>
          <w:sz w:val="20"/>
        </w:rPr>
        <w:t xml:space="preserve">Proposal </w:t>
      </w:r>
      <w:r>
        <w:rPr>
          <w:b/>
          <w:sz w:val="20"/>
        </w:rPr>
        <w:t>P1053</w:t>
      </w:r>
      <w:r w:rsidRPr="002A7834">
        <w:rPr>
          <w:b/>
          <w:sz w:val="20"/>
        </w:rPr>
        <w:t xml:space="preserve"> – </w:t>
      </w:r>
      <w:r>
        <w:rPr>
          <w:b/>
          <w:sz w:val="20"/>
        </w:rPr>
        <w:t>Food Safety Management Tools</w:t>
      </w:r>
      <w:r w:rsidRPr="002A7834">
        <w:rPr>
          <w:b/>
          <w:sz w:val="20"/>
        </w:rPr>
        <w:t>) Variation</w:t>
      </w:r>
    </w:p>
    <w:p w14:paraId="4BDBC736" w14:textId="77777777" w:rsidR="00280892" w:rsidRPr="00C0014E" w:rsidRDefault="00280892" w:rsidP="00280892">
      <w:pPr>
        <w:pBdr>
          <w:bottom w:val="single" w:sz="4" w:space="1" w:color="auto"/>
        </w:pBdr>
        <w:rPr>
          <w:b/>
          <w:sz w:val="20"/>
        </w:rPr>
      </w:pPr>
    </w:p>
    <w:p w14:paraId="49764154" w14:textId="77777777" w:rsidR="00280892" w:rsidRPr="008F2616" w:rsidRDefault="00280892" w:rsidP="00280892">
      <w:pPr>
        <w:rPr>
          <w:sz w:val="20"/>
        </w:rPr>
      </w:pPr>
    </w:p>
    <w:p w14:paraId="58B4FDC5" w14:textId="77777777" w:rsidR="00280892" w:rsidRPr="0053287E" w:rsidRDefault="00280892" w:rsidP="00280892">
      <w:pPr>
        <w:rPr>
          <w:sz w:val="20"/>
        </w:rPr>
      </w:pPr>
      <w:r w:rsidRPr="0053287E">
        <w:rPr>
          <w:sz w:val="20"/>
        </w:rPr>
        <w:t xml:space="preserve">The Board of Food Standards Australia New Zealand gives notice of the making of this Standard under section 92 of the </w:t>
      </w:r>
      <w:r w:rsidRPr="0053287E">
        <w:rPr>
          <w:i/>
          <w:sz w:val="20"/>
        </w:rPr>
        <w:t>Food Standards Australia New Zealand Act 1991</w:t>
      </w:r>
      <w:r w:rsidRPr="0053287E">
        <w:rPr>
          <w:sz w:val="20"/>
        </w:rPr>
        <w:t xml:space="preserve">. The Standard commences </w:t>
      </w:r>
      <w:r>
        <w:rPr>
          <w:sz w:val="20"/>
        </w:rPr>
        <w:t>on a date 12 months after the date of gazetta</w:t>
      </w:r>
      <w:r w:rsidRPr="00E76359">
        <w:rPr>
          <w:sz w:val="20"/>
        </w:rPr>
        <w:t>l.</w:t>
      </w:r>
    </w:p>
    <w:p w14:paraId="327848A2" w14:textId="77777777" w:rsidR="00280892" w:rsidRPr="008F2616" w:rsidRDefault="00280892" w:rsidP="00280892">
      <w:pPr>
        <w:rPr>
          <w:sz w:val="20"/>
        </w:rPr>
      </w:pPr>
    </w:p>
    <w:p w14:paraId="4B872F11" w14:textId="77777777" w:rsidR="00280892" w:rsidRDefault="00280892" w:rsidP="00280892">
      <w:pPr>
        <w:rPr>
          <w:sz w:val="20"/>
        </w:rPr>
      </w:pPr>
      <w:r>
        <w:rPr>
          <w:sz w:val="20"/>
        </w:rPr>
        <w:t>Dated [To be completed by the Delegate]</w:t>
      </w:r>
    </w:p>
    <w:p w14:paraId="1C256C34" w14:textId="77777777" w:rsidR="00280892" w:rsidRDefault="00280892" w:rsidP="00280892">
      <w:pPr>
        <w:rPr>
          <w:sz w:val="20"/>
        </w:rPr>
      </w:pPr>
    </w:p>
    <w:p w14:paraId="62B4D63D" w14:textId="77777777" w:rsidR="00280892" w:rsidRDefault="00280892" w:rsidP="00280892">
      <w:pPr>
        <w:rPr>
          <w:sz w:val="20"/>
        </w:rPr>
      </w:pPr>
    </w:p>
    <w:p w14:paraId="4E8BC9B6" w14:textId="77777777" w:rsidR="00280892" w:rsidRDefault="00280892" w:rsidP="00280892">
      <w:pPr>
        <w:rPr>
          <w:sz w:val="20"/>
        </w:rPr>
      </w:pPr>
      <w:r>
        <w:rPr>
          <w:sz w:val="20"/>
        </w:rPr>
        <w:t>[Name of Delegate]</w:t>
      </w:r>
    </w:p>
    <w:p w14:paraId="63C62601" w14:textId="77777777" w:rsidR="00280892" w:rsidRPr="008F2616" w:rsidRDefault="00280892" w:rsidP="00280892">
      <w:pPr>
        <w:rPr>
          <w:sz w:val="20"/>
        </w:rPr>
      </w:pPr>
      <w:r w:rsidRPr="008F2616">
        <w:rPr>
          <w:sz w:val="20"/>
        </w:rPr>
        <w:t>Delegate of the Board of Food Standards Australia New Zealand</w:t>
      </w:r>
    </w:p>
    <w:p w14:paraId="43ACDADE" w14:textId="77777777" w:rsidR="00280892" w:rsidRPr="00713686" w:rsidRDefault="00280892" w:rsidP="00280892">
      <w:pPr>
        <w:rPr>
          <w:sz w:val="20"/>
        </w:rPr>
      </w:pPr>
    </w:p>
    <w:p w14:paraId="59553CB5" w14:textId="77777777" w:rsidR="00280892" w:rsidRPr="00713686" w:rsidRDefault="00280892" w:rsidP="00280892">
      <w:pPr>
        <w:rPr>
          <w:sz w:val="20"/>
        </w:rPr>
      </w:pPr>
    </w:p>
    <w:p w14:paraId="3606BF3A" w14:textId="77777777" w:rsidR="00280892" w:rsidRPr="00713686" w:rsidRDefault="00280892" w:rsidP="00280892">
      <w:pPr>
        <w:rPr>
          <w:sz w:val="20"/>
        </w:rPr>
      </w:pPr>
    </w:p>
    <w:p w14:paraId="3BE2D4E2" w14:textId="77777777" w:rsidR="00280892" w:rsidRPr="00713686" w:rsidRDefault="00280892" w:rsidP="00280892">
      <w:pPr>
        <w:rPr>
          <w:sz w:val="20"/>
        </w:rPr>
      </w:pPr>
    </w:p>
    <w:p w14:paraId="080DC084" w14:textId="77777777" w:rsidR="00280892" w:rsidRPr="00713686" w:rsidRDefault="00280892" w:rsidP="00280892">
      <w:pPr>
        <w:rPr>
          <w:sz w:val="20"/>
        </w:rPr>
      </w:pPr>
    </w:p>
    <w:p w14:paraId="129F3656" w14:textId="77777777" w:rsidR="00280892" w:rsidRPr="00713686" w:rsidRDefault="00280892" w:rsidP="00280892">
      <w:pPr>
        <w:pBdr>
          <w:top w:val="single" w:sz="4" w:space="1" w:color="auto"/>
          <w:left w:val="single" w:sz="4" w:space="4" w:color="auto"/>
          <w:bottom w:val="single" w:sz="4" w:space="1" w:color="auto"/>
          <w:right w:val="single" w:sz="4" w:space="4" w:color="auto"/>
        </w:pBdr>
        <w:rPr>
          <w:b/>
          <w:sz w:val="20"/>
          <w:lang w:val="en-AU"/>
        </w:rPr>
      </w:pPr>
      <w:r w:rsidRPr="00713686">
        <w:rPr>
          <w:b/>
          <w:sz w:val="20"/>
          <w:lang w:val="en-AU"/>
        </w:rPr>
        <w:t>Note:</w:t>
      </w:r>
      <w:r>
        <w:rPr>
          <w:b/>
          <w:sz w:val="20"/>
          <w:lang w:val="en-AU"/>
        </w:rPr>
        <w:t xml:space="preserve"> </w:t>
      </w:r>
    </w:p>
    <w:p w14:paraId="00F4456E" w14:textId="77777777" w:rsidR="00280892" w:rsidRPr="00713686" w:rsidRDefault="00280892" w:rsidP="00280892">
      <w:pPr>
        <w:pBdr>
          <w:top w:val="single" w:sz="4" w:space="1" w:color="auto"/>
          <w:left w:val="single" w:sz="4" w:space="4" w:color="auto"/>
          <w:bottom w:val="single" w:sz="4" w:space="1" w:color="auto"/>
          <w:right w:val="single" w:sz="4" w:space="4" w:color="auto"/>
        </w:pBdr>
        <w:rPr>
          <w:sz w:val="20"/>
          <w:lang w:val="en-AU"/>
        </w:rPr>
      </w:pPr>
    </w:p>
    <w:p w14:paraId="36184BAD" w14:textId="77777777" w:rsidR="00280892" w:rsidRPr="00713686" w:rsidRDefault="00280892" w:rsidP="00280892">
      <w:pPr>
        <w:pBdr>
          <w:top w:val="single" w:sz="4" w:space="1" w:color="auto"/>
          <w:left w:val="single" w:sz="4" w:space="4" w:color="auto"/>
          <w:bottom w:val="single" w:sz="4" w:space="1" w:color="auto"/>
          <w:right w:val="single" w:sz="4" w:space="4" w:color="auto"/>
        </w:pBdr>
        <w:rPr>
          <w:sz w:val="20"/>
          <w:lang w:val="en-AU"/>
        </w:rPr>
      </w:pPr>
      <w:r w:rsidRPr="00713686">
        <w:rPr>
          <w:sz w:val="20"/>
          <w:lang w:val="en-AU"/>
        </w:rPr>
        <w:t xml:space="preserve">This Standard will be published in the Commonwealth of Australia Gazette No. FSC </w:t>
      </w:r>
      <w:r w:rsidRPr="00713686">
        <w:rPr>
          <w:color w:val="FF0000"/>
          <w:sz w:val="20"/>
          <w:lang w:val="en-AU"/>
        </w:rPr>
        <w:t>XX on XX Month 20XX</w:t>
      </w:r>
      <w:r w:rsidRPr="00713686">
        <w:rPr>
          <w:sz w:val="20"/>
          <w:lang w:val="en-AU"/>
        </w:rPr>
        <w:t xml:space="preserve">. This means that this date is the gazettal date for the purposes of the above notice. </w:t>
      </w:r>
    </w:p>
    <w:p w14:paraId="5D1C06F6" w14:textId="77777777" w:rsidR="00280892" w:rsidRDefault="00280892" w:rsidP="00280892">
      <w:pPr>
        <w:rPr>
          <w:sz w:val="20"/>
        </w:rPr>
      </w:pPr>
    </w:p>
    <w:p w14:paraId="640F8F87" w14:textId="4E2A5088" w:rsidR="00280892" w:rsidRDefault="00280892">
      <w:pPr>
        <w:widowControl/>
        <w:rPr>
          <w:lang w:bidi="ar-SA"/>
        </w:rPr>
      </w:pPr>
      <w:r>
        <w:rPr>
          <w:lang w:bidi="ar-SA"/>
        </w:rPr>
        <w:br w:type="page"/>
      </w:r>
    </w:p>
    <w:p w14:paraId="0EAC495B" w14:textId="1BB8BE98" w:rsidR="00280892" w:rsidRPr="00CF136E" w:rsidRDefault="00280892" w:rsidP="00CF136E">
      <w:pPr>
        <w:pStyle w:val="FSCh4Div"/>
      </w:pPr>
      <w:bookmarkStart w:id="184" w:name="_Toc94172684"/>
      <w:r w:rsidRPr="00CF136E">
        <w:lastRenderedPageBreak/>
        <w:t>Standard 3.2.2A</w:t>
      </w:r>
      <w:r w:rsidR="0081747A" w:rsidRPr="00CF136E">
        <w:t xml:space="preserve"> </w:t>
      </w:r>
      <w:r w:rsidRPr="00CF136E">
        <w:tab/>
        <w:t>Food Safety Management Tools</w:t>
      </w:r>
      <w:bookmarkEnd w:id="184"/>
    </w:p>
    <w:p w14:paraId="0286E0EF" w14:textId="3EC6C881" w:rsidR="00280892" w:rsidRPr="00280892" w:rsidRDefault="00280892" w:rsidP="00280892">
      <w:pPr>
        <w:tabs>
          <w:tab w:val="left" w:pos="1134"/>
        </w:tabs>
        <w:spacing w:before="120" w:after="120"/>
        <w:ind w:left="851" w:hanging="851"/>
        <w:rPr>
          <w:rFonts w:cs="Arial"/>
          <w:iCs/>
          <w:sz w:val="16"/>
          <w:szCs w:val="22"/>
          <w:lang w:eastAsia="en-AU" w:bidi="ar-SA"/>
        </w:rPr>
      </w:pPr>
      <w:bookmarkStart w:id="185" w:name="_Toc371505286"/>
      <w:r w:rsidRPr="00280892">
        <w:rPr>
          <w:rFonts w:cs="Arial"/>
          <w:b/>
          <w:i/>
          <w:iCs/>
          <w:sz w:val="16"/>
          <w:szCs w:val="22"/>
          <w:lang w:eastAsia="en-AU" w:bidi="ar-SA"/>
        </w:rPr>
        <w:t>Note 1</w:t>
      </w:r>
      <w:r w:rsidR="0001175D">
        <w:rPr>
          <w:rFonts w:cs="Arial"/>
          <w:iCs/>
          <w:sz w:val="16"/>
          <w:szCs w:val="22"/>
          <w:lang w:eastAsia="en-AU" w:bidi="ar-SA"/>
        </w:rPr>
        <w:tab/>
      </w:r>
      <w:r w:rsidRPr="00280892">
        <w:rPr>
          <w:rFonts w:cs="Arial"/>
          <w:iCs/>
          <w:sz w:val="16"/>
          <w:szCs w:val="22"/>
          <w:lang w:eastAsia="en-AU" w:bidi="ar-SA"/>
        </w:rPr>
        <w:t xml:space="preserve">This instrument is a standard under the </w:t>
      </w:r>
      <w:r w:rsidRPr="00280892">
        <w:rPr>
          <w:rFonts w:cs="Arial"/>
          <w:i/>
          <w:iCs/>
          <w:sz w:val="16"/>
          <w:szCs w:val="22"/>
          <w:lang w:eastAsia="en-AU" w:bidi="ar-SA"/>
        </w:rPr>
        <w:t>Food Standards Australia New Zealand Act 1991</w:t>
      </w:r>
      <w:r w:rsidRPr="00280892">
        <w:rPr>
          <w:rFonts w:cs="Arial"/>
          <w:iCs/>
          <w:sz w:val="16"/>
          <w:szCs w:val="22"/>
          <w:lang w:eastAsia="en-AU" w:bidi="ar-SA"/>
        </w:rPr>
        <w:t xml:space="preserve"> (</w:t>
      </w:r>
      <w:proofErr w:type="spellStart"/>
      <w:r w:rsidRPr="00280892">
        <w:rPr>
          <w:rFonts w:cs="Arial"/>
          <w:iCs/>
          <w:sz w:val="16"/>
          <w:szCs w:val="22"/>
          <w:lang w:eastAsia="en-AU" w:bidi="ar-SA"/>
        </w:rPr>
        <w:t>Cth</w:t>
      </w:r>
      <w:proofErr w:type="spellEnd"/>
      <w:r w:rsidRPr="00280892">
        <w:rPr>
          <w:rFonts w:cs="Arial"/>
          <w:iCs/>
          <w:sz w:val="16"/>
          <w:szCs w:val="22"/>
          <w:lang w:eastAsia="en-AU" w:bidi="ar-SA"/>
        </w:rPr>
        <w:t xml:space="preserve">). The standards together make up the </w:t>
      </w:r>
      <w:r w:rsidRPr="00280892">
        <w:rPr>
          <w:rFonts w:cs="Arial"/>
          <w:i/>
          <w:iCs/>
          <w:sz w:val="16"/>
          <w:szCs w:val="22"/>
          <w:lang w:eastAsia="en-AU" w:bidi="ar-SA"/>
        </w:rPr>
        <w:t>Australia New Zealand Food Standards Code.</w:t>
      </w:r>
      <w:r w:rsidRPr="00280892">
        <w:rPr>
          <w:rFonts w:cs="Arial"/>
          <w:iCs/>
          <w:sz w:val="16"/>
          <w:szCs w:val="22"/>
          <w:lang w:eastAsia="en-AU" w:bidi="ar-SA"/>
        </w:rPr>
        <w:t xml:space="preserve"> See also section 1.1.1—3.</w:t>
      </w:r>
    </w:p>
    <w:p w14:paraId="0B6FDF22" w14:textId="77777777" w:rsidR="00280892" w:rsidRPr="00280892" w:rsidRDefault="00280892" w:rsidP="00280892">
      <w:pPr>
        <w:tabs>
          <w:tab w:val="left" w:pos="1134"/>
        </w:tabs>
        <w:spacing w:before="120" w:after="120"/>
        <w:ind w:left="851" w:hanging="851"/>
        <w:rPr>
          <w:rFonts w:cs="Arial"/>
          <w:iCs/>
          <w:sz w:val="16"/>
          <w:szCs w:val="22"/>
          <w:lang w:eastAsia="en-AU" w:bidi="ar-SA"/>
        </w:rPr>
      </w:pPr>
      <w:r w:rsidRPr="00280892">
        <w:rPr>
          <w:rFonts w:cs="Arial"/>
          <w:b/>
          <w:i/>
          <w:iCs/>
          <w:sz w:val="16"/>
          <w:szCs w:val="22"/>
          <w:lang w:eastAsia="en-AU" w:bidi="ar-SA"/>
        </w:rPr>
        <w:t>Note 2</w:t>
      </w:r>
      <w:r w:rsidRPr="00280892">
        <w:rPr>
          <w:rFonts w:cs="Arial"/>
          <w:iCs/>
          <w:sz w:val="16"/>
          <w:szCs w:val="22"/>
          <w:lang w:eastAsia="en-AU" w:bidi="ar-SA"/>
        </w:rPr>
        <w:tab/>
        <w:t>This Standard applies in Australia only.</w:t>
      </w:r>
    </w:p>
    <w:bookmarkEnd w:id="185"/>
    <w:p w14:paraId="5DCFD892"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3.2.2A—1</w:t>
      </w:r>
      <w:r w:rsidRPr="00280892">
        <w:rPr>
          <w:b/>
          <w:bCs/>
          <w:kern w:val="32"/>
          <w:lang w:eastAsia="en-AU" w:bidi="ar-SA"/>
        </w:rPr>
        <w:tab/>
        <w:t>Name</w:t>
      </w:r>
    </w:p>
    <w:p w14:paraId="09B432DF" w14:textId="77777777" w:rsidR="00280892" w:rsidRPr="00280892" w:rsidRDefault="4EB5B86E" w:rsidP="778B3A8C">
      <w:pPr>
        <w:tabs>
          <w:tab w:val="left" w:pos="1134"/>
        </w:tabs>
        <w:spacing w:before="120" w:after="120"/>
        <w:ind w:left="1701"/>
        <w:rPr>
          <w:rFonts w:cs="Arial"/>
          <w:sz w:val="20"/>
          <w:szCs w:val="20"/>
          <w:lang w:eastAsia="en-AU" w:bidi="ar-SA"/>
        </w:rPr>
      </w:pPr>
      <w:r w:rsidRPr="778B3A8C">
        <w:rPr>
          <w:rFonts w:cs="Arial"/>
          <w:sz w:val="20"/>
          <w:szCs w:val="20"/>
          <w:lang w:eastAsia="en-AU" w:bidi="ar-SA"/>
        </w:rPr>
        <w:t xml:space="preserve">This Standard is </w:t>
      </w:r>
      <w:r w:rsidRPr="778B3A8C">
        <w:rPr>
          <w:rFonts w:cs="Arial"/>
          <w:i/>
          <w:iCs/>
          <w:sz w:val="20"/>
          <w:szCs w:val="20"/>
          <w:lang w:eastAsia="en-AU" w:bidi="ar-SA"/>
        </w:rPr>
        <w:t xml:space="preserve">Australia New Zealand Food Standards Code </w:t>
      </w:r>
      <w:r w:rsidRPr="778B3A8C">
        <w:rPr>
          <w:rFonts w:cs="Arial"/>
          <w:sz w:val="20"/>
          <w:szCs w:val="20"/>
          <w:lang w:eastAsia="en-AU" w:bidi="ar-SA"/>
        </w:rPr>
        <w:t>– Standard 3.2.2A – Food Safety Management Tools.</w:t>
      </w:r>
    </w:p>
    <w:p w14:paraId="4E64EFB0" w14:textId="1A369C68" w:rsidR="00280892" w:rsidRPr="0001175D" w:rsidRDefault="00795BAF" w:rsidP="778B3A8C">
      <w:pPr>
        <w:tabs>
          <w:tab w:val="left" w:pos="1134"/>
        </w:tabs>
        <w:spacing w:before="120" w:after="120"/>
        <w:ind w:left="1134"/>
        <w:rPr>
          <w:rFonts w:cs="Arial"/>
          <w:sz w:val="16"/>
          <w:szCs w:val="16"/>
          <w:lang w:eastAsia="en-AU" w:bidi="ar-SA"/>
        </w:rPr>
      </w:pPr>
      <w:r>
        <w:rPr>
          <w:rFonts w:cs="Arial"/>
          <w:b/>
          <w:bCs/>
          <w:i/>
          <w:iCs/>
          <w:sz w:val="16"/>
          <w:szCs w:val="16"/>
          <w:lang w:eastAsia="en-AU" w:bidi="ar-SA"/>
        </w:rPr>
        <w:tab/>
      </w:r>
      <w:r>
        <w:rPr>
          <w:rFonts w:cs="Arial"/>
          <w:b/>
          <w:bCs/>
          <w:i/>
          <w:iCs/>
          <w:sz w:val="16"/>
          <w:szCs w:val="16"/>
          <w:lang w:eastAsia="en-AU" w:bidi="ar-SA"/>
        </w:rPr>
        <w:tab/>
      </w:r>
      <w:r w:rsidR="40853101" w:rsidRPr="778B3A8C">
        <w:rPr>
          <w:rFonts w:cs="Arial"/>
          <w:b/>
          <w:bCs/>
          <w:i/>
          <w:iCs/>
          <w:sz w:val="16"/>
          <w:szCs w:val="16"/>
          <w:lang w:eastAsia="en-AU" w:bidi="ar-SA"/>
        </w:rPr>
        <w:t>Note</w:t>
      </w:r>
      <w:r w:rsidR="40853101">
        <w:tab/>
      </w:r>
      <w:r w:rsidR="40853101" w:rsidRPr="778B3A8C">
        <w:rPr>
          <w:rFonts w:cs="Arial"/>
          <w:sz w:val="16"/>
          <w:szCs w:val="16"/>
          <w:lang w:eastAsia="en-AU" w:bidi="ar-SA"/>
        </w:rPr>
        <w:t>Commencement:</w:t>
      </w:r>
    </w:p>
    <w:p w14:paraId="61105766" w14:textId="08B6A3F1" w:rsidR="00280892" w:rsidRPr="0001175D" w:rsidRDefault="40853101" w:rsidP="00662E44">
      <w:pPr>
        <w:tabs>
          <w:tab w:val="left" w:pos="1134"/>
        </w:tabs>
        <w:spacing w:before="120" w:after="120"/>
        <w:ind w:left="1701"/>
        <w:rPr>
          <w:rFonts w:cs="Arial"/>
          <w:sz w:val="16"/>
          <w:szCs w:val="16"/>
          <w:lang w:eastAsia="en-AU" w:bidi="ar-SA"/>
        </w:rPr>
      </w:pPr>
      <w:r w:rsidRPr="778B3A8C">
        <w:rPr>
          <w:rFonts w:cs="Arial"/>
          <w:sz w:val="16"/>
          <w:szCs w:val="16"/>
          <w:lang w:eastAsia="en-AU" w:bidi="ar-SA"/>
        </w:rPr>
        <w:t xml:space="preserve">This Standard commences </w:t>
      </w:r>
      <w:r w:rsidRPr="778B3A8C" w:rsidDel="00D36DF1">
        <w:rPr>
          <w:rFonts w:cs="Arial"/>
          <w:sz w:val="16"/>
          <w:szCs w:val="16"/>
          <w:lang w:eastAsia="en-AU" w:bidi="ar-SA"/>
        </w:rPr>
        <w:t>on</w:t>
      </w:r>
      <w:r w:rsidRPr="778B3A8C">
        <w:rPr>
          <w:rFonts w:cs="Arial"/>
          <w:sz w:val="16"/>
          <w:szCs w:val="16"/>
          <w:lang w:eastAsia="en-AU" w:bidi="ar-SA"/>
        </w:rPr>
        <w:t xml:space="preserve"> a date that is 12 months after the date of gazettal, being the dates specified as the commencement date in notices in the Gazette and the New Zealand Gazette under section 92 of the Food Standards Australia New Zealand Act 1991 (</w:t>
      </w:r>
      <w:proofErr w:type="spellStart"/>
      <w:r w:rsidRPr="778B3A8C">
        <w:rPr>
          <w:rFonts w:cs="Arial"/>
          <w:sz w:val="16"/>
          <w:szCs w:val="16"/>
          <w:lang w:eastAsia="en-AU" w:bidi="ar-SA"/>
        </w:rPr>
        <w:t>Cth</w:t>
      </w:r>
      <w:proofErr w:type="spellEnd"/>
      <w:r w:rsidRPr="778B3A8C">
        <w:rPr>
          <w:rFonts w:cs="Arial"/>
          <w:sz w:val="16"/>
          <w:szCs w:val="16"/>
          <w:lang w:eastAsia="en-AU" w:bidi="ar-SA"/>
        </w:rPr>
        <w:t>). See also section 93 of that Act.</w:t>
      </w:r>
    </w:p>
    <w:p w14:paraId="4AF5BB59"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3.2.2A—2</w:t>
      </w:r>
      <w:r w:rsidRPr="00280892">
        <w:rPr>
          <w:b/>
          <w:bCs/>
          <w:kern w:val="32"/>
          <w:lang w:eastAsia="en-AU" w:bidi="ar-SA"/>
        </w:rPr>
        <w:tab/>
        <w:t>Definitions</w:t>
      </w:r>
    </w:p>
    <w:p w14:paraId="50211042" w14:textId="77777777" w:rsidR="00280892" w:rsidRPr="00280892" w:rsidRDefault="00280892" w:rsidP="00280892">
      <w:pPr>
        <w:tabs>
          <w:tab w:val="left" w:pos="1134"/>
        </w:tabs>
        <w:spacing w:before="120" w:after="120"/>
        <w:ind w:left="1701"/>
        <w:rPr>
          <w:rFonts w:cs="Arial"/>
          <w:b/>
          <w:i/>
          <w:iCs/>
          <w:sz w:val="20"/>
          <w:szCs w:val="22"/>
          <w:lang w:eastAsia="en-AU" w:bidi="ar-SA"/>
        </w:rPr>
      </w:pPr>
      <w:r w:rsidRPr="00280892">
        <w:rPr>
          <w:rFonts w:cs="Arial"/>
          <w:iCs/>
          <w:sz w:val="20"/>
          <w:szCs w:val="22"/>
          <w:lang w:eastAsia="en-AU" w:bidi="ar-SA"/>
        </w:rPr>
        <w:t>In this Standard:</w:t>
      </w:r>
    </w:p>
    <w:p w14:paraId="1F79A665" w14:textId="77777777" w:rsidR="00280892" w:rsidRPr="00280892" w:rsidRDefault="00280892" w:rsidP="00280892">
      <w:pPr>
        <w:tabs>
          <w:tab w:val="left" w:pos="1701"/>
        </w:tabs>
        <w:spacing w:before="120" w:after="120"/>
        <w:ind w:left="1701"/>
        <w:rPr>
          <w:rFonts w:cs="Arial"/>
          <w:iCs/>
          <w:sz w:val="20"/>
          <w:szCs w:val="20"/>
          <w:lang w:eastAsia="en-AU" w:bidi="ar-SA"/>
        </w:rPr>
      </w:pPr>
      <w:r w:rsidRPr="00280892">
        <w:rPr>
          <w:rFonts w:cs="Arial"/>
          <w:b/>
          <w:i/>
          <w:iCs/>
          <w:sz w:val="20"/>
          <w:szCs w:val="20"/>
          <w:lang w:eastAsia="en-AU" w:bidi="ar-SA"/>
        </w:rPr>
        <w:t>category one business</w:t>
      </w:r>
      <w:r w:rsidRPr="00280892">
        <w:rPr>
          <w:rFonts w:cs="Arial"/>
          <w:iCs/>
          <w:sz w:val="20"/>
          <w:szCs w:val="20"/>
          <w:lang w:eastAsia="en-AU" w:bidi="ar-SA"/>
        </w:rPr>
        <w:t>—see</w:t>
      </w:r>
      <w:r w:rsidRPr="00280892">
        <w:rPr>
          <w:rFonts w:cs="Arial"/>
          <w:b/>
          <w:i/>
          <w:iCs/>
          <w:sz w:val="20"/>
          <w:szCs w:val="20"/>
          <w:lang w:eastAsia="en-AU" w:bidi="ar-SA"/>
        </w:rPr>
        <w:t xml:space="preserve"> </w:t>
      </w:r>
      <w:r w:rsidRPr="00280892">
        <w:rPr>
          <w:rFonts w:cs="Arial"/>
          <w:iCs/>
          <w:sz w:val="20"/>
          <w:szCs w:val="22"/>
          <w:lang w:eastAsia="en-AU" w:bidi="ar-SA"/>
        </w:rPr>
        <w:t>3.2.2A—6.</w:t>
      </w:r>
    </w:p>
    <w:p w14:paraId="18F1322E" w14:textId="77777777" w:rsidR="00280892" w:rsidRPr="00280892" w:rsidRDefault="00280892" w:rsidP="00280892">
      <w:pPr>
        <w:tabs>
          <w:tab w:val="left" w:pos="1134"/>
        </w:tabs>
        <w:spacing w:before="120" w:after="120"/>
        <w:ind w:left="1701"/>
        <w:rPr>
          <w:rFonts w:cs="Arial"/>
          <w:b/>
          <w:i/>
          <w:iCs/>
          <w:sz w:val="20"/>
          <w:szCs w:val="22"/>
          <w:lang w:eastAsia="en-AU" w:bidi="ar-SA"/>
        </w:rPr>
      </w:pPr>
      <w:r w:rsidRPr="00280892">
        <w:rPr>
          <w:rFonts w:cs="Arial"/>
          <w:b/>
          <w:i/>
          <w:iCs/>
          <w:sz w:val="20"/>
          <w:szCs w:val="20"/>
          <w:lang w:eastAsia="en-AU" w:bidi="ar-SA"/>
        </w:rPr>
        <w:t>category two business</w:t>
      </w:r>
      <w:r w:rsidRPr="00280892">
        <w:rPr>
          <w:rFonts w:cs="Arial"/>
          <w:iCs/>
          <w:sz w:val="20"/>
          <w:szCs w:val="20"/>
          <w:lang w:eastAsia="en-AU" w:bidi="ar-SA"/>
        </w:rPr>
        <w:t>—see</w:t>
      </w:r>
      <w:r w:rsidRPr="00280892">
        <w:rPr>
          <w:rFonts w:cs="Arial"/>
          <w:b/>
          <w:i/>
          <w:iCs/>
          <w:sz w:val="20"/>
          <w:szCs w:val="20"/>
          <w:lang w:eastAsia="en-AU" w:bidi="ar-SA"/>
        </w:rPr>
        <w:t xml:space="preserve"> </w:t>
      </w:r>
      <w:r w:rsidRPr="00280892">
        <w:rPr>
          <w:rFonts w:cs="Arial"/>
          <w:iCs/>
          <w:sz w:val="20"/>
          <w:szCs w:val="22"/>
          <w:lang w:eastAsia="en-AU" w:bidi="ar-SA"/>
        </w:rPr>
        <w:t>3.2.2A—7</w:t>
      </w:r>
      <w:r w:rsidRPr="00280892">
        <w:rPr>
          <w:rFonts w:cs="Arial"/>
          <w:iCs/>
          <w:sz w:val="20"/>
          <w:szCs w:val="20"/>
          <w:lang w:val="en-AU" w:eastAsia="en-AU" w:bidi="ar-SA"/>
        </w:rPr>
        <w:t>.</w:t>
      </w:r>
    </w:p>
    <w:p w14:paraId="781EDF1B" w14:textId="77777777" w:rsidR="00280892" w:rsidRPr="00280892" w:rsidRDefault="00280892" w:rsidP="00280892">
      <w:pPr>
        <w:tabs>
          <w:tab w:val="left" w:pos="1134"/>
        </w:tabs>
        <w:spacing w:before="120" w:after="120"/>
        <w:ind w:left="1701"/>
        <w:rPr>
          <w:rFonts w:cs="Arial"/>
          <w:iCs/>
          <w:sz w:val="20"/>
          <w:szCs w:val="22"/>
          <w:lang w:eastAsia="en-AU" w:bidi="ar-SA"/>
        </w:rPr>
      </w:pPr>
      <w:r w:rsidRPr="00280892">
        <w:rPr>
          <w:rFonts w:cs="Arial"/>
          <w:b/>
          <w:i/>
          <w:iCs/>
          <w:sz w:val="20"/>
          <w:szCs w:val="22"/>
          <w:lang w:eastAsia="en-AU" w:bidi="ar-SA"/>
        </w:rPr>
        <w:t xml:space="preserve">food safety supervisor </w:t>
      </w:r>
      <w:r w:rsidRPr="00280892">
        <w:rPr>
          <w:rFonts w:cs="Arial"/>
          <w:iCs/>
          <w:sz w:val="20"/>
          <w:szCs w:val="22"/>
          <w:lang w:eastAsia="en-AU" w:bidi="ar-SA"/>
        </w:rPr>
        <w:t>means a person who:</w:t>
      </w:r>
    </w:p>
    <w:p w14:paraId="53620B30" w14:textId="77777777" w:rsidR="00280892" w:rsidRPr="00280892" w:rsidRDefault="00280892" w:rsidP="00614AF5">
      <w:pPr>
        <w:numPr>
          <w:ilvl w:val="0"/>
          <w:numId w:val="37"/>
        </w:numPr>
        <w:tabs>
          <w:tab w:val="left" w:pos="1701"/>
        </w:tabs>
        <w:spacing w:before="60" w:after="60"/>
        <w:rPr>
          <w:rFonts w:cs="Arial"/>
          <w:iCs/>
          <w:sz w:val="20"/>
          <w:szCs w:val="22"/>
          <w:lang w:eastAsia="en-AU" w:bidi="ar-SA"/>
        </w:rPr>
      </w:pPr>
      <w:r w:rsidRPr="00280892">
        <w:rPr>
          <w:rFonts w:cs="Arial"/>
          <w:iCs/>
          <w:sz w:val="20"/>
          <w:szCs w:val="22"/>
          <w:lang w:eastAsia="en-AU" w:bidi="ar-SA"/>
        </w:rPr>
        <w:t>holds a food safety supervisor certificate that has been issued within the immediately preceding period of 5 years; and</w:t>
      </w:r>
    </w:p>
    <w:p w14:paraId="73541E5B" w14:textId="77777777" w:rsidR="00280892" w:rsidRPr="00280892" w:rsidRDefault="00280892" w:rsidP="00614AF5">
      <w:pPr>
        <w:numPr>
          <w:ilvl w:val="0"/>
          <w:numId w:val="37"/>
        </w:numPr>
        <w:tabs>
          <w:tab w:val="left" w:pos="1701"/>
        </w:tabs>
        <w:spacing w:before="60" w:after="60"/>
        <w:ind w:left="2274" w:hanging="573"/>
        <w:rPr>
          <w:rFonts w:cs="Arial"/>
          <w:iCs/>
          <w:sz w:val="20"/>
          <w:szCs w:val="22"/>
          <w:lang w:eastAsia="en-AU" w:bidi="ar-SA"/>
        </w:rPr>
      </w:pPr>
      <w:r w:rsidRPr="00280892">
        <w:rPr>
          <w:rFonts w:cs="Arial"/>
          <w:iCs/>
          <w:sz w:val="20"/>
          <w:szCs w:val="22"/>
          <w:lang w:eastAsia="en-AU" w:bidi="ar-SA"/>
        </w:rPr>
        <w:t>has the authority and ability to manage and give direction on the safe handling of food.</w:t>
      </w:r>
    </w:p>
    <w:p w14:paraId="7D1D74CD" w14:textId="77777777" w:rsidR="00280892" w:rsidRPr="00280892" w:rsidRDefault="00280892" w:rsidP="00280892">
      <w:pPr>
        <w:tabs>
          <w:tab w:val="left" w:pos="1134"/>
        </w:tabs>
        <w:spacing w:before="120" w:after="120"/>
        <w:ind w:left="1701"/>
        <w:rPr>
          <w:rFonts w:cs="Arial"/>
          <w:iCs/>
          <w:sz w:val="20"/>
          <w:szCs w:val="22"/>
          <w:lang w:eastAsia="en-AU" w:bidi="ar-SA"/>
        </w:rPr>
      </w:pPr>
      <w:r w:rsidRPr="00280892">
        <w:rPr>
          <w:rFonts w:cs="Arial"/>
          <w:b/>
          <w:i/>
          <w:iCs/>
          <w:sz w:val="20"/>
          <w:szCs w:val="22"/>
          <w:lang w:eastAsia="en-AU" w:bidi="ar-SA"/>
        </w:rPr>
        <w:t>food safety supervisor certificate</w:t>
      </w:r>
      <w:r w:rsidRPr="00280892">
        <w:rPr>
          <w:rFonts w:cs="Arial"/>
          <w:iCs/>
          <w:sz w:val="20"/>
          <w:szCs w:val="22"/>
          <w:lang w:eastAsia="en-AU" w:bidi="ar-SA"/>
        </w:rPr>
        <w:t xml:space="preserve"> means certification as a food safety supervisor by:</w:t>
      </w:r>
    </w:p>
    <w:p w14:paraId="6E16E477" w14:textId="48341FFD" w:rsidR="00280892" w:rsidRPr="00280892" w:rsidRDefault="00280892" w:rsidP="00E86163">
      <w:pPr>
        <w:numPr>
          <w:ilvl w:val="0"/>
          <w:numId w:val="105"/>
        </w:numPr>
        <w:tabs>
          <w:tab w:val="left" w:pos="1701"/>
        </w:tabs>
        <w:spacing w:before="60" w:after="60"/>
        <w:rPr>
          <w:rFonts w:cs="Arial"/>
          <w:iCs/>
          <w:sz w:val="20"/>
          <w:szCs w:val="22"/>
          <w:lang w:eastAsia="en-AU" w:bidi="ar-SA"/>
        </w:rPr>
      </w:pPr>
      <w:r w:rsidRPr="00280892">
        <w:rPr>
          <w:rFonts w:cs="Arial"/>
          <w:iCs/>
          <w:sz w:val="20"/>
          <w:szCs w:val="22"/>
          <w:lang w:eastAsia="en-AU" w:bidi="ar-SA"/>
        </w:rPr>
        <w:t xml:space="preserve">a registered training organisation; or </w:t>
      </w:r>
    </w:p>
    <w:p w14:paraId="7F479D24" w14:textId="77777777" w:rsidR="00280892" w:rsidRPr="0001175D" w:rsidRDefault="00280892" w:rsidP="00E86163">
      <w:pPr>
        <w:numPr>
          <w:ilvl w:val="0"/>
          <w:numId w:val="105"/>
        </w:numPr>
        <w:tabs>
          <w:tab w:val="left" w:pos="1701"/>
        </w:tabs>
        <w:spacing w:before="60" w:after="60"/>
        <w:rPr>
          <w:rFonts w:cs="Arial"/>
          <w:iCs/>
          <w:sz w:val="20"/>
          <w:szCs w:val="22"/>
          <w:lang w:eastAsia="en-AU" w:bidi="ar-SA"/>
        </w:rPr>
      </w:pPr>
      <w:r w:rsidRPr="00280892">
        <w:rPr>
          <w:rFonts w:cs="Arial"/>
          <w:iCs/>
          <w:sz w:val="20"/>
          <w:szCs w:val="22"/>
          <w:lang w:eastAsia="en-AU" w:bidi="ar-SA"/>
        </w:rPr>
        <w:t>an organisation recognised by the *relevant authority under the application Act.</w:t>
      </w:r>
    </w:p>
    <w:p w14:paraId="79646E47" w14:textId="28C2B55B" w:rsidR="00280892" w:rsidRPr="00280892" w:rsidRDefault="00280892" w:rsidP="00280892">
      <w:pPr>
        <w:tabs>
          <w:tab w:val="left" w:pos="1134"/>
        </w:tabs>
        <w:spacing w:before="120" w:after="120"/>
        <w:ind w:left="1701"/>
        <w:rPr>
          <w:rFonts w:cs="Arial"/>
          <w:iCs/>
          <w:sz w:val="20"/>
          <w:szCs w:val="22"/>
          <w:lang w:eastAsia="en-AU" w:bidi="ar-SA"/>
        </w:rPr>
      </w:pPr>
      <w:r w:rsidRPr="00280892">
        <w:rPr>
          <w:rFonts w:cs="Arial"/>
          <w:b/>
          <w:i/>
          <w:iCs/>
          <w:sz w:val="20"/>
          <w:szCs w:val="22"/>
          <w:lang w:eastAsia="en-AU" w:bidi="ar-SA"/>
        </w:rPr>
        <w:t xml:space="preserve">food safety training course </w:t>
      </w:r>
      <w:r w:rsidRPr="00280892">
        <w:rPr>
          <w:rFonts w:cs="Arial"/>
          <w:iCs/>
          <w:sz w:val="20"/>
          <w:szCs w:val="22"/>
          <w:lang w:eastAsia="en-AU" w:bidi="ar-SA"/>
        </w:rPr>
        <w:t>means training in food safety that includes tr</w:t>
      </w:r>
      <w:r w:rsidR="006C5905">
        <w:rPr>
          <w:rFonts w:cs="Arial"/>
          <w:iCs/>
          <w:sz w:val="20"/>
          <w:szCs w:val="22"/>
          <w:lang w:eastAsia="en-AU" w:bidi="ar-SA"/>
        </w:rPr>
        <w:t>aining in each of the following:</w:t>
      </w:r>
    </w:p>
    <w:p w14:paraId="1CE791E8" w14:textId="77777777" w:rsidR="00280892" w:rsidRPr="00280892" w:rsidRDefault="00280892" w:rsidP="00614AF5">
      <w:pPr>
        <w:numPr>
          <w:ilvl w:val="0"/>
          <w:numId w:val="33"/>
        </w:numPr>
        <w:tabs>
          <w:tab w:val="left" w:pos="1701"/>
        </w:tabs>
        <w:spacing w:before="60" w:after="60"/>
        <w:ind w:left="2274" w:hanging="573"/>
        <w:rPr>
          <w:rFonts w:cs="Arial"/>
          <w:iCs/>
          <w:sz w:val="20"/>
          <w:szCs w:val="22"/>
          <w:lang w:eastAsia="en-AU" w:bidi="ar-SA"/>
        </w:rPr>
      </w:pPr>
      <w:r w:rsidRPr="00280892">
        <w:rPr>
          <w:rFonts w:cs="Arial"/>
          <w:iCs/>
          <w:sz w:val="20"/>
          <w:szCs w:val="22"/>
          <w:lang w:eastAsia="en-AU" w:bidi="ar-SA"/>
        </w:rPr>
        <w:t>safe handling of food; and</w:t>
      </w:r>
    </w:p>
    <w:p w14:paraId="7AD52B59" w14:textId="77777777" w:rsidR="00280892" w:rsidRPr="00280892" w:rsidRDefault="00280892" w:rsidP="00614AF5">
      <w:pPr>
        <w:numPr>
          <w:ilvl w:val="0"/>
          <w:numId w:val="33"/>
        </w:numPr>
        <w:tabs>
          <w:tab w:val="left" w:pos="1701"/>
        </w:tabs>
        <w:spacing w:before="60" w:after="60"/>
        <w:ind w:left="2274" w:hanging="573"/>
        <w:rPr>
          <w:rFonts w:cs="Arial"/>
          <w:iCs/>
          <w:sz w:val="20"/>
          <w:szCs w:val="22"/>
          <w:lang w:eastAsia="en-AU" w:bidi="ar-SA"/>
        </w:rPr>
      </w:pPr>
      <w:r w:rsidRPr="00280892">
        <w:rPr>
          <w:rFonts w:cs="Arial"/>
          <w:iCs/>
          <w:sz w:val="20"/>
          <w:szCs w:val="22"/>
          <w:lang w:eastAsia="en-AU" w:bidi="ar-SA"/>
        </w:rPr>
        <w:t>food contamination; and</w:t>
      </w:r>
    </w:p>
    <w:p w14:paraId="5EECECC4" w14:textId="77777777" w:rsidR="00280892" w:rsidRPr="00280892" w:rsidRDefault="00280892" w:rsidP="00614AF5">
      <w:pPr>
        <w:numPr>
          <w:ilvl w:val="0"/>
          <w:numId w:val="33"/>
        </w:numPr>
        <w:tabs>
          <w:tab w:val="left" w:pos="1701"/>
        </w:tabs>
        <w:spacing w:before="60" w:after="60"/>
        <w:ind w:left="2274" w:hanging="573"/>
        <w:rPr>
          <w:rFonts w:cs="Arial"/>
          <w:iCs/>
          <w:sz w:val="20"/>
          <w:szCs w:val="22"/>
          <w:lang w:eastAsia="en-AU" w:bidi="ar-SA"/>
        </w:rPr>
      </w:pPr>
      <w:r w:rsidRPr="00280892">
        <w:rPr>
          <w:rFonts w:cs="Arial"/>
          <w:iCs/>
          <w:sz w:val="20"/>
          <w:szCs w:val="22"/>
          <w:lang w:eastAsia="en-AU" w:bidi="ar-SA"/>
        </w:rPr>
        <w:t>cleaning and sanitising of food premises and equipment; and</w:t>
      </w:r>
    </w:p>
    <w:p w14:paraId="424409B9" w14:textId="77777777" w:rsidR="00280892" w:rsidRPr="00280892" w:rsidRDefault="00280892" w:rsidP="00614AF5">
      <w:pPr>
        <w:numPr>
          <w:ilvl w:val="0"/>
          <w:numId w:val="33"/>
        </w:numPr>
        <w:tabs>
          <w:tab w:val="left" w:pos="1701"/>
        </w:tabs>
        <w:spacing w:before="60" w:after="60"/>
        <w:ind w:left="2274" w:hanging="573"/>
        <w:rPr>
          <w:rFonts w:cs="Arial"/>
          <w:iCs/>
          <w:sz w:val="20"/>
          <w:szCs w:val="22"/>
          <w:lang w:eastAsia="en-AU" w:bidi="ar-SA"/>
        </w:rPr>
      </w:pPr>
      <w:r w:rsidRPr="00280892">
        <w:rPr>
          <w:rFonts w:cs="Arial"/>
          <w:iCs/>
          <w:sz w:val="20"/>
          <w:szCs w:val="22"/>
          <w:lang w:eastAsia="en-AU" w:bidi="ar-SA"/>
        </w:rPr>
        <w:t>personal hygiene.</w:t>
      </w:r>
    </w:p>
    <w:p w14:paraId="4735D4F9" w14:textId="77777777" w:rsidR="00280892" w:rsidRPr="00280892" w:rsidRDefault="00280892" w:rsidP="3C0957AF">
      <w:pPr>
        <w:tabs>
          <w:tab w:val="left" w:pos="1701"/>
        </w:tabs>
        <w:spacing w:before="120" w:after="120"/>
        <w:ind w:left="1701"/>
        <w:rPr>
          <w:rFonts w:cs="Arial"/>
          <w:sz w:val="20"/>
          <w:szCs w:val="20"/>
          <w:lang w:eastAsia="en-AU" w:bidi="ar-SA"/>
        </w:rPr>
      </w:pPr>
      <w:r w:rsidRPr="3C0957AF">
        <w:rPr>
          <w:rFonts w:cs="Arial"/>
          <w:b/>
          <w:bCs/>
          <w:i/>
          <w:iCs/>
          <w:sz w:val="20"/>
          <w:szCs w:val="20"/>
          <w:lang w:eastAsia="en-AU" w:bidi="ar-SA"/>
        </w:rPr>
        <w:t xml:space="preserve">potentially hazardous food </w:t>
      </w:r>
      <w:r w:rsidRPr="3C0957AF">
        <w:rPr>
          <w:rFonts w:cs="Arial"/>
          <w:sz w:val="20"/>
          <w:szCs w:val="20"/>
          <w:lang w:eastAsia="en-AU" w:bidi="ar-SA"/>
        </w:rPr>
        <w:t xml:space="preserve">means food that </w:t>
      </w:r>
      <w:bookmarkStart w:id="186" w:name="_Int_jxLgtMkN"/>
      <w:r w:rsidRPr="3C0957AF">
        <w:rPr>
          <w:rFonts w:cs="Arial"/>
          <w:sz w:val="20"/>
          <w:szCs w:val="20"/>
          <w:lang w:eastAsia="en-AU" w:bidi="ar-SA"/>
        </w:rPr>
        <w:t>has to</w:t>
      </w:r>
      <w:bookmarkEnd w:id="186"/>
      <w:r w:rsidRPr="3C0957AF">
        <w:rPr>
          <w:rFonts w:cs="Arial"/>
          <w:sz w:val="20"/>
          <w:szCs w:val="20"/>
          <w:lang w:eastAsia="en-AU" w:bidi="ar-SA"/>
        </w:rPr>
        <w:t xml:space="preserve"> be kept at certain temperatures to:</w:t>
      </w:r>
    </w:p>
    <w:p w14:paraId="77383B55" w14:textId="77777777" w:rsidR="00280892" w:rsidRPr="00280892" w:rsidRDefault="00280892" w:rsidP="00614AF5">
      <w:pPr>
        <w:numPr>
          <w:ilvl w:val="0"/>
          <w:numId w:val="36"/>
        </w:numPr>
        <w:tabs>
          <w:tab w:val="left" w:pos="1701"/>
        </w:tabs>
        <w:spacing w:before="60" w:after="60"/>
        <w:ind w:left="2268" w:hanging="567"/>
        <w:rPr>
          <w:rFonts w:cs="Arial"/>
          <w:iCs/>
          <w:sz w:val="20"/>
          <w:szCs w:val="20"/>
          <w:lang w:eastAsia="en-AU" w:bidi="ar-SA"/>
        </w:rPr>
      </w:pPr>
      <w:r w:rsidRPr="00280892">
        <w:rPr>
          <w:rFonts w:cs="Arial"/>
          <w:iCs/>
          <w:sz w:val="20"/>
          <w:szCs w:val="20"/>
          <w:lang w:eastAsia="en-AU" w:bidi="ar-SA"/>
        </w:rPr>
        <w:t>minimise the growth of any pathogenic microorganisms that may be present in the food; or</w:t>
      </w:r>
    </w:p>
    <w:p w14:paraId="434914C7" w14:textId="77777777" w:rsidR="00280892" w:rsidRPr="00280892" w:rsidRDefault="00280892" w:rsidP="00614AF5">
      <w:pPr>
        <w:numPr>
          <w:ilvl w:val="0"/>
          <w:numId w:val="36"/>
        </w:numPr>
        <w:tabs>
          <w:tab w:val="left" w:pos="1701"/>
        </w:tabs>
        <w:spacing w:before="60" w:after="60"/>
        <w:ind w:left="2268" w:hanging="567"/>
        <w:rPr>
          <w:rFonts w:cs="Arial"/>
          <w:iCs/>
          <w:sz w:val="20"/>
          <w:szCs w:val="20"/>
          <w:lang w:eastAsia="en-AU" w:bidi="ar-SA"/>
        </w:rPr>
      </w:pPr>
      <w:r w:rsidRPr="00280892">
        <w:rPr>
          <w:rFonts w:cs="Arial"/>
          <w:iCs/>
          <w:sz w:val="20"/>
          <w:szCs w:val="20"/>
          <w:lang w:eastAsia="en-AU" w:bidi="ar-SA"/>
        </w:rPr>
        <w:t>prevent the formation of toxins in the food.</w:t>
      </w:r>
    </w:p>
    <w:p w14:paraId="65AEFB85" w14:textId="77777777" w:rsidR="00280892" w:rsidRPr="00280892" w:rsidRDefault="00280892" w:rsidP="00280892">
      <w:pPr>
        <w:tabs>
          <w:tab w:val="left" w:pos="1701"/>
        </w:tabs>
        <w:spacing w:before="120" w:after="120"/>
        <w:ind w:left="1701"/>
        <w:rPr>
          <w:rFonts w:cs="Arial"/>
          <w:iCs/>
          <w:sz w:val="20"/>
          <w:szCs w:val="22"/>
          <w:lang w:eastAsia="en-AU" w:bidi="ar-SA"/>
        </w:rPr>
      </w:pPr>
      <w:r w:rsidRPr="00280892">
        <w:rPr>
          <w:rFonts w:cs="Arial"/>
          <w:b/>
          <w:i/>
          <w:iCs/>
          <w:sz w:val="20"/>
          <w:szCs w:val="22"/>
          <w:lang w:eastAsia="en-AU" w:bidi="ar-SA"/>
        </w:rPr>
        <w:t>prescribed activity</w:t>
      </w:r>
      <w:r w:rsidRPr="00280892">
        <w:rPr>
          <w:rFonts w:cs="Arial"/>
          <w:iCs/>
          <w:sz w:val="20"/>
          <w:szCs w:val="20"/>
          <w:lang w:eastAsia="en-AU" w:bidi="ar-SA"/>
        </w:rPr>
        <w:t>—see</w:t>
      </w:r>
      <w:r w:rsidRPr="00280892">
        <w:rPr>
          <w:rFonts w:cs="Arial"/>
          <w:b/>
          <w:i/>
          <w:iCs/>
          <w:sz w:val="20"/>
          <w:szCs w:val="20"/>
          <w:lang w:eastAsia="en-AU" w:bidi="ar-SA"/>
        </w:rPr>
        <w:t xml:space="preserve"> </w:t>
      </w:r>
      <w:r w:rsidRPr="00280892">
        <w:rPr>
          <w:rFonts w:cs="Arial"/>
          <w:iCs/>
          <w:sz w:val="20"/>
          <w:szCs w:val="22"/>
          <w:lang w:eastAsia="en-AU" w:bidi="ar-SA"/>
        </w:rPr>
        <w:t>3.2.2A—5.</w:t>
      </w:r>
    </w:p>
    <w:p w14:paraId="04F4065F" w14:textId="77777777" w:rsidR="00280892" w:rsidRPr="00280892" w:rsidRDefault="00280892" w:rsidP="00280892">
      <w:pPr>
        <w:tabs>
          <w:tab w:val="left" w:pos="1701"/>
        </w:tabs>
        <w:spacing w:before="120" w:after="120"/>
        <w:ind w:left="1701"/>
        <w:rPr>
          <w:rFonts w:cs="Arial"/>
          <w:iCs/>
          <w:sz w:val="20"/>
          <w:szCs w:val="20"/>
          <w:lang w:eastAsia="en-AU" w:bidi="ar-SA"/>
        </w:rPr>
      </w:pPr>
      <w:r w:rsidRPr="00280892">
        <w:rPr>
          <w:rFonts w:cs="Arial"/>
          <w:b/>
          <w:i/>
          <w:iCs/>
          <w:sz w:val="20"/>
          <w:szCs w:val="20"/>
          <w:lang w:eastAsia="en-AU" w:bidi="ar-SA"/>
        </w:rPr>
        <w:t xml:space="preserve">process, </w:t>
      </w:r>
      <w:r w:rsidRPr="00280892">
        <w:rPr>
          <w:rFonts w:cs="Arial"/>
          <w:iCs/>
          <w:sz w:val="20"/>
          <w:szCs w:val="20"/>
          <w:lang w:eastAsia="en-AU" w:bidi="ar-SA"/>
        </w:rPr>
        <w:t>in relation to food, means activity conducted to prepare food for sale and includes chopping, cooking, drying, fermenting, heating, thawing and washing, or a combination of these activities.</w:t>
      </w:r>
      <w:r w:rsidRPr="00280892">
        <w:rPr>
          <w:rFonts w:cs="Arial"/>
          <w:b/>
          <w:i/>
          <w:iCs/>
          <w:sz w:val="20"/>
          <w:szCs w:val="20"/>
          <w:lang w:eastAsia="en-AU" w:bidi="ar-SA"/>
        </w:rPr>
        <w:t xml:space="preserve"> </w:t>
      </w:r>
    </w:p>
    <w:p w14:paraId="20A510F4" w14:textId="77777777" w:rsidR="00280892" w:rsidRPr="00280892" w:rsidRDefault="00280892" w:rsidP="00280892">
      <w:pPr>
        <w:tabs>
          <w:tab w:val="left" w:pos="1701"/>
        </w:tabs>
        <w:spacing w:before="120" w:after="120"/>
        <w:ind w:left="1701"/>
        <w:rPr>
          <w:rFonts w:cs="Arial"/>
          <w:iCs/>
          <w:sz w:val="20"/>
          <w:szCs w:val="20"/>
          <w:lang w:eastAsia="en-AU" w:bidi="ar-SA"/>
        </w:rPr>
      </w:pPr>
      <w:r w:rsidRPr="00280892">
        <w:rPr>
          <w:rFonts w:cs="Arial"/>
          <w:b/>
          <w:i/>
          <w:iCs/>
          <w:sz w:val="20"/>
          <w:szCs w:val="20"/>
          <w:lang w:eastAsia="en-AU" w:bidi="ar-SA"/>
        </w:rPr>
        <w:t xml:space="preserve">ready-to-eat food </w:t>
      </w:r>
      <w:r w:rsidRPr="00280892">
        <w:rPr>
          <w:rFonts w:cs="Arial"/>
          <w:iCs/>
          <w:sz w:val="20"/>
          <w:szCs w:val="20"/>
          <w:lang w:eastAsia="en-AU" w:bidi="ar-SA"/>
        </w:rPr>
        <w:t>means food that is ordinarily consumed in the same state as that in which it is sold, but does not include:</w:t>
      </w:r>
    </w:p>
    <w:p w14:paraId="77881B15" w14:textId="77777777" w:rsidR="00280892" w:rsidRPr="00280892" w:rsidRDefault="00280892" w:rsidP="00E86163">
      <w:pPr>
        <w:numPr>
          <w:ilvl w:val="0"/>
          <w:numId w:val="106"/>
        </w:numPr>
        <w:tabs>
          <w:tab w:val="left" w:pos="1701"/>
        </w:tabs>
        <w:spacing w:before="60" w:after="60"/>
        <w:ind w:left="2268" w:hanging="567"/>
        <w:rPr>
          <w:rFonts w:cs="Arial"/>
          <w:iCs/>
          <w:sz w:val="20"/>
          <w:szCs w:val="20"/>
          <w:lang w:eastAsia="en-AU" w:bidi="ar-SA"/>
        </w:rPr>
      </w:pPr>
      <w:r w:rsidRPr="00280892">
        <w:rPr>
          <w:rFonts w:cs="Arial"/>
          <w:iCs/>
          <w:sz w:val="20"/>
          <w:szCs w:val="20"/>
          <w:lang w:eastAsia="en-AU" w:bidi="ar-SA"/>
        </w:rPr>
        <w:t>nuts in the shell; or</w:t>
      </w:r>
    </w:p>
    <w:p w14:paraId="3B83E88B" w14:textId="77777777" w:rsidR="00280892" w:rsidRPr="00280892" w:rsidRDefault="00280892" w:rsidP="00E86163">
      <w:pPr>
        <w:numPr>
          <w:ilvl w:val="0"/>
          <w:numId w:val="106"/>
        </w:numPr>
        <w:tabs>
          <w:tab w:val="left" w:pos="1701"/>
        </w:tabs>
        <w:spacing w:before="60" w:after="60"/>
        <w:ind w:left="2268" w:hanging="567"/>
        <w:rPr>
          <w:rFonts w:cs="Arial"/>
          <w:iCs/>
          <w:sz w:val="20"/>
          <w:szCs w:val="20"/>
          <w:lang w:eastAsia="en-AU" w:bidi="ar-SA"/>
        </w:rPr>
      </w:pPr>
      <w:r w:rsidRPr="00280892">
        <w:rPr>
          <w:rFonts w:cs="Arial"/>
          <w:iCs/>
          <w:sz w:val="20"/>
          <w:szCs w:val="20"/>
          <w:lang w:eastAsia="en-AU" w:bidi="ar-SA"/>
        </w:rPr>
        <w:t>whole, raw fruits; or</w:t>
      </w:r>
    </w:p>
    <w:p w14:paraId="4E7CF656" w14:textId="77777777" w:rsidR="00280892" w:rsidRPr="00280892" w:rsidRDefault="00280892" w:rsidP="00E86163">
      <w:pPr>
        <w:numPr>
          <w:ilvl w:val="0"/>
          <w:numId w:val="106"/>
        </w:numPr>
        <w:tabs>
          <w:tab w:val="left" w:pos="1701"/>
        </w:tabs>
        <w:spacing w:before="60" w:after="60"/>
        <w:ind w:left="2268" w:hanging="567"/>
        <w:rPr>
          <w:rFonts w:cs="Arial"/>
          <w:iCs/>
          <w:sz w:val="20"/>
          <w:szCs w:val="20"/>
          <w:lang w:eastAsia="en-AU" w:bidi="ar-SA"/>
        </w:rPr>
      </w:pPr>
      <w:r w:rsidRPr="00280892">
        <w:rPr>
          <w:rFonts w:cs="Arial"/>
          <w:iCs/>
          <w:sz w:val="20"/>
          <w:szCs w:val="20"/>
          <w:lang w:eastAsia="en-AU" w:bidi="ar-SA"/>
        </w:rPr>
        <w:t xml:space="preserve">vegetables that are intended for hulling, peeling or washing by the </w:t>
      </w:r>
      <w:r w:rsidRPr="00280892">
        <w:rPr>
          <w:rFonts w:cs="Arial"/>
          <w:iCs/>
          <w:sz w:val="20"/>
          <w:szCs w:val="20"/>
          <w:lang w:eastAsia="en-AU" w:bidi="ar-SA"/>
        </w:rPr>
        <w:lastRenderedPageBreak/>
        <w:t>consumer.</w:t>
      </w:r>
    </w:p>
    <w:p w14:paraId="2B0312EA" w14:textId="77777777" w:rsidR="00280892" w:rsidRPr="00280892" w:rsidRDefault="00280892" w:rsidP="00280892">
      <w:pPr>
        <w:tabs>
          <w:tab w:val="left" w:pos="1134"/>
        </w:tabs>
        <w:spacing w:before="120" w:after="120"/>
        <w:ind w:left="851" w:hanging="851"/>
        <w:rPr>
          <w:rFonts w:cs="Arial"/>
          <w:iCs/>
          <w:sz w:val="16"/>
          <w:szCs w:val="22"/>
          <w:lang w:eastAsia="en-AU" w:bidi="ar-SA"/>
        </w:rPr>
      </w:pPr>
      <w:r w:rsidRPr="00280892">
        <w:rPr>
          <w:rFonts w:cs="Arial"/>
          <w:b/>
          <w:i/>
          <w:iCs/>
          <w:sz w:val="16"/>
          <w:szCs w:val="22"/>
          <w:lang w:eastAsia="en-AU" w:bidi="ar-SA"/>
        </w:rPr>
        <w:t>Note 1</w:t>
      </w:r>
      <w:r w:rsidRPr="00280892">
        <w:rPr>
          <w:rFonts w:cs="Arial"/>
          <w:iCs/>
          <w:sz w:val="16"/>
          <w:szCs w:val="22"/>
          <w:lang w:eastAsia="en-AU" w:bidi="ar-SA"/>
        </w:rPr>
        <w:tab/>
        <w:t>In this Code (see section 1.1.2—2):</w:t>
      </w:r>
    </w:p>
    <w:p w14:paraId="2FF97466" w14:textId="77777777" w:rsidR="00280892" w:rsidRPr="00280892" w:rsidRDefault="00280892" w:rsidP="00280892">
      <w:pPr>
        <w:tabs>
          <w:tab w:val="left" w:pos="1134"/>
        </w:tabs>
        <w:spacing w:before="120" w:after="120"/>
        <w:ind w:left="851" w:hanging="851"/>
        <w:rPr>
          <w:rFonts w:cs="Arial"/>
          <w:iCs/>
          <w:sz w:val="16"/>
          <w:szCs w:val="22"/>
          <w:lang w:eastAsia="en-AU" w:bidi="ar-SA"/>
        </w:rPr>
      </w:pPr>
      <w:r w:rsidRPr="00280892">
        <w:rPr>
          <w:rFonts w:cs="Arial"/>
          <w:b/>
          <w:i/>
          <w:iCs/>
          <w:sz w:val="16"/>
          <w:szCs w:val="16"/>
          <w:lang w:eastAsia="en-AU" w:bidi="ar-SA"/>
        </w:rPr>
        <w:t xml:space="preserve"> </w:t>
      </w:r>
      <w:r w:rsidRPr="00280892">
        <w:rPr>
          <w:rFonts w:cs="Arial"/>
          <w:b/>
          <w:i/>
          <w:iCs/>
          <w:sz w:val="16"/>
          <w:szCs w:val="16"/>
          <w:lang w:eastAsia="en-AU" w:bidi="ar-SA"/>
        </w:rPr>
        <w:tab/>
      </w:r>
      <w:r w:rsidRPr="00280892">
        <w:rPr>
          <w:rFonts w:cs="Arial"/>
          <w:b/>
          <w:i/>
          <w:iCs/>
          <w:sz w:val="16"/>
          <w:szCs w:val="22"/>
          <w:lang w:eastAsia="en-AU" w:bidi="ar-SA"/>
        </w:rPr>
        <w:t>application Act</w:t>
      </w:r>
      <w:r w:rsidRPr="00280892">
        <w:rPr>
          <w:rFonts w:cs="Arial"/>
          <w:b/>
          <w:i/>
          <w:iCs/>
          <w:sz w:val="16"/>
          <w:szCs w:val="16"/>
          <w:lang w:eastAsia="en-AU" w:bidi="ar-SA"/>
        </w:rPr>
        <w:t xml:space="preserve"> </w:t>
      </w:r>
      <w:r w:rsidRPr="00280892">
        <w:rPr>
          <w:rFonts w:cs="Arial"/>
          <w:iCs/>
          <w:sz w:val="16"/>
          <w:szCs w:val="22"/>
          <w:lang w:eastAsia="en-AU" w:bidi="ar-SA"/>
        </w:rPr>
        <w:t>means an Act or Ordinance of a *jurisdiction under which the requirements of this Code are applied in the jurisdiction.</w:t>
      </w:r>
    </w:p>
    <w:p w14:paraId="0FF33B48" w14:textId="77777777" w:rsidR="00280892" w:rsidRPr="00280892" w:rsidRDefault="00280892" w:rsidP="00280892">
      <w:pPr>
        <w:tabs>
          <w:tab w:val="left" w:pos="1134"/>
        </w:tabs>
        <w:spacing w:before="120" w:after="120"/>
        <w:ind w:left="851" w:hanging="851"/>
        <w:rPr>
          <w:rFonts w:cs="Arial"/>
          <w:b/>
          <w:i/>
          <w:iCs/>
          <w:sz w:val="16"/>
          <w:szCs w:val="16"/>
          <w:lang w:eastAsia="en-AU" w:bidi="ar-SA"/>
        </w:rPr>
      </w:pPr>
      <w:r w:rsidRPr="00280892">
        <w:rPr>
          <w:rFonts w:cs="Arial"/>
          <w:b/>
          <w:i/>
          <w:iCs/>
          <w:sz w:val="16"/>
          <w:szCs w:val="16"/>
          <w:lang w:eastAsia="en-AU" w:bidi="ar-SA"/>
        </w:rPr>
        <w:tab/>
        <w:t>authorised officer</w:t>
      </w:r>
      <w:r w:rsidRPr="00280892">
        <w:rPr>
          <w:rFonts w:cs="Arial"/>
          <w:iCs/>
          <w:sz w:val="16"/>
          <w:szCs w:val="16"/>
          <w:lang w:eastAsia="en-AU" w:bidi="ar-SA"/>
        </w:rPr>
        <w:t>, in relation to a jurisdiction, means a person authorised or appointed under an application Act or other legislation of the relevant *jurisdiction for the purposes of enforcement of a provision of the relevant application Act, or for purposes that include that purpose.</w:t>
      </w:r>
    </w:p>
    <w:p w14:paraId="013604EA" w14:textId="77777777" w:rsidR="00280892" w:rsidRPr="00280892" w:rsidRDefault="00280892" w:rsidP="00280892">
      <w:pPr>
        <w:tabs>
          <w:tab w:val="left" w:pos="1134"/>
        </w:tabs>
        <w:spacing w:before="120" w:after="120"/>
        <w:ind w:left="851" w:hanging="851"/>
        <w:rPr>
          <w:rFonts w:cs="Arial"/>
          <w:iCs/>
          <w:sz w:val="16"/>
          <w:szCs w:val="16"/>
          <w:lang w:eastAsia="en-AU" w:bidi="ar-SA"/>
        </w:rPr>
      </w:pPr>
      <w:r w:rsidRPr="00280892">
        <w:rPr>
          <w:rFonts w:cs="Arial"/>
          <w:b/>
          <w:i/>
          <w:iCs/>
          <w:sz w:val="16"/>
          <w:szCs w:val="16"/>
          <w:lang w:eastAsia="en-AU" w:bidi="ar-SA"/>
        </w:rPr>
        <w:tab/>
      </w:r>
      <w:r w:rsidRPr="00280892">
        <w:rPr>
          <w:rFonts w:cs="Arial"/>
          <w:b/>
          <w:bCs/>
          <w:i/>
          <w:sz w:val="16"/>
          <w:szCs w:val="16"/>
          <w:lang w:eastAsia="en-AU" w:bidi="ar-SA"/>
        </w:rPr>
        <w:t xml:space="preserve">caterer </w:t>
      </w:r>
      <w:r w:rsidRPr="00280892">
        <w:rPr>
          <w:rFonts w:cs="Arial"/>
          <w:iCs/>
          <w:sz w:val="16"/>
          <w:szCs w:val="16"/>
          <w:lang w:eastAsia="en-AU" w:bidi="ar-SA"/>
        </w:rPr>
        <w:t xml:space="preserve">means a person, establishment or institution (for example, a catering establishment, a restaurant, a canteen, a school, or a hospital) which handles or offers food for immediate consumption. </w:t>
      </w:r>
    </w:p>
    <w:p w14:paraId="10672AA0" w14:textId="77777777" w:rsidR="00280892" w:rsidRPr="00280892" w:rsidRDefault="00280892" w:rsidP="00280892">
      <w:pPr>
        <w:tabs>
          <w:tab w:val="left" w:pos="1134"/>
        </w:tabs>
        <w:spacing w:before="120" w:after="120"/>
        <w:ind w:left="851" w:hanging="851"/>
        <w:rPr>
          <w:rFonts w:cs="Arial"/>
          <w:iCs/>
          <w:sz w:val="16"/>
          <w:szCs w:val="16"/>
          <w:lang w:eastAsia="en-AU" w:bidi="ar-SA"/>
        </w:rPr>
      </w:pPr>
      <w:r w:rsidRPr="00280892">
        <w:rPr>
          <w:rFonts w:cs="Arial"/>
          <w:iCs/>
          <w:sz w:val="16"/>
          <w:szCs w:val="16"/>
          <w:lang w:eastAsia="en-AU" w:bidi="ar-SA"/>
        </w:rPr>
        <w:tab/>
      </w:r>
      <w:r w:rsidRPr="00280892">
        <w:rPr>
          <w:rFonts w:cs="Arial"/>
          <w:b/>
          <w:i/>
          <w:iCs/>
          <w:sz w:val="16"/>
          <w:szCs w:val="16"/>
          <w:lang w:eastAsia="en-AU" w:bidi="ar-SA"/>
        </w:rPr>
        <w:t xml:space="preserve">fund raising event </w:t>
      </w:r>
      <w:r w:rsidRPr="00280892">
        <w:rPr>
          <w:rFonts w:cs="Arial"/>
          <w:iCs/>
          <w:sz w:val="16"/>
          <w:szCs w:val="16"/>
          <w:lang w:eastAsia="en-AU" w:bidi="ar-SA"/>
        </w:rPr>
        <w:t>means an event that raises funds solely for a community or charitable cause and not for personal financial gain.</w:t>
      </w:r>
    </w:p>
    <w:p w14:paraId="60DAF6A5" w14:textId="77777777" w:rsidR="00280892" w:rsidRPr="00280892" w:rsidRDefault="00280892" w:rsidP="00280892">
      <w:pPr>
        <w:tabs>
          <w:tab w:val="left" w:pos="1134"/>
        </w:tabs>
        <w:spacing w:before="120" w:after="120"/>
        <w:ind w:left="851" w:hanging="851"/>
        <w:rPr>
          <w:rFonts w:cs="Arial"/>
          <w:b/>
          <w:i/>
          <w:iCs/>
          <w:sz w:val="16"/>
          <w:szCs w:val="16"/>
          <w:lang w:eastAsia="en-AU" w:bidi="ar-SA"/>
        </w:rPr>
      </w:pPr>
      <w:r w:rsidRPr="00280892">
        <w:rPr>
          <w:rFonts w:cs="Arial"/>
          <w:b/>
          <w:bCs/>
          <w:i/>
          <w:sz w:val="20"/>
          <w:szCs w:val="20"/>
          <w:lang w:eastAsia="en-AU" w:bidi="ar-SA"/>
        </w:rPr>
        <w:tab/>
      </w:r>
      <w:r w:rsidRPr="00280892">
        <w:rPr>
          <w:rFonts w:cs="Arial"/>
          <w:b/>
          <w:i/>
          <w:iCs/>
          <w:sz w:val="16"/>
          <w:szCs w:val="16"/>
          <w:lang w:eastAsia="en-AU" w:bidi="ar-SA"/>
        </w:rPr>
        <w:t>jurisdiction</w:t>
      </w:r>
      <w:r w:rsidRPr="00280892">
        <w:rPr>
          <w:rFonts w:cs="Arial"/>
          <w:iCs/>
          <w:sz w:val="16"/>
          <w:szCs w:val="16"/>
          <w:lang w:eastAsia="en-AU" w:bidi="ar-SA"/>
        </w:rPr>
        <w:t xml:space="preserve"> means a State or Territory of Australia, the Commonwealth of </w:t>
      </w:r>
      <w:r w:rsidRPr="00280892">
        <w:rPr>
          <w:rFonts w:cs="Arial"/>
          <w:i/>
          <w:iCs/>
          <w:sz w:val="16"/>
          <w:szCs w:val="16"/>
          <w:lang w:eastAsia="en-AU" w:bidi="ar-SA"/>
        </w:rPr>
        <w:t>Australia, or New Zealand</w:t>
      </w:r>
      <w:r w:rsidRPr="00280892">
        <w:rPr>
          <w:rFonts w:cs="Arial"/>
          <w:b/>
          <w:i/>
          <w:iCs/>
          <w:sz w:val="16"/>
          <w:szCs w:val="16"/>
          <w:lang w:eastAsia="en-AU" w:bidi="ar-SA"/>
        </w:rPr>
        <w:t>.</w:t>
      </w:r>
    </w:p>
    <w:p w14:paraId="4B34F7F6" w14:textId="77777777" w:rsidR="00280892" w:rsidRPr="00280892" w:rsidRDefault="00280892" w:rsidP="00280892">
      <w:pPr>
        <w:tabs>
          <w:tab w:val="left" w:pos="1134"/>
        </w:tabs>
        <w:spacing w:before="120" w:after="120"/>
        <w:ind w:left="851" w:hanging="851"/>
        <w:rPr>
          <w:rFonts w:cs="Arial"/>
          <w:b/>
          <w:i/>
          <w:iCs/>
          <w:sz w:val="16"/>
          <w:szCs w:val="16"/>
          <w:lang w:eastAsia="en-AU" w:bidi="ar-SA"/>
        </w:rPr>
      </w:pPr>
      <w:r w:rsidRPr="00280892">
        <w:rPr>
          <w:rFonts w:cs="Arial"/>
          <w:b/>
          <w:i/>
          <w:iCs/>
          <w:sz w:val="16"/>
          <w:szCs w:val="16"/>
          <w:lang w:eastAsia="en-AU" w:bidi="ar-SA"/>
        </w:rPr>
        <w:tab/>
        <w:t xml:space="preserve">relevant authority </w:t>
      </w:r>
      <w:r w:rsidRPr="00280892">
        <w:rPr>
          <w:rFonts w:cs="Arial"/>
          <w:iCs/>
          <w:sz w:val="16"/>
          <w:szCs w:val="16"/>
          <w:lang w:eastAsia="en-AU" w:bidi="ar-SA"/>
        </w:rPr>
        <w:t>means an authority responsible for the enforcement of the relevant application Act.</w:t>
      </w:r>
      <w:r w:rsidRPr="00280892">
        <w:rPr>
          <w:rFonts w:cs="Arial"/>
          <w:b/>
          <w:i/>
          <w:iCs/>
          <w:sz w:val="16"/>
          <w:szCs w:val="16"/>
          <w:lang w:eastAsia="en-AU" w:bidi="ar-SA"/>
        </w:rPr>
        <w:tab/>
      </w:r>
    </w:p>
    <w:p w14:paraId="4A197C9F" w14:textId="77777777" w:rsidR="00280892" w:rsidRPr="00280892" w:rsidRDefault="00280892" w:rsidP="00280892">
      <w:pPr>
        <w:tabs>
          <w:tab w:val="left" w:pos="1134"/>
        </w:tabs>
        <w:spacing w:before="120" w:after="120"/>
        <w:ind w:left="851" w:hanging="851"/>
        <w:rPr>
          <w:rFonts w:cs="Arial"/>
          <w:iCs/>
          <w:sz w:val="16"/>
          <w:szCs w:val="22"/>
          <w:lang w:eastAsia="en-AU" w:bidi="ar-SA"/>
        </w:rPr>
      </w:pPr>
      <w:r w:rsidRPr="00280892">
        <w:rPr>
          <w:rFonts w:cs="Arial"/>
          <w:b/>
          <w:i/>
          <w:iCs/>
          <w:sz w:val="16"/>
          <w:szCs w:val="22"/>
          <w:lang w:eastAsia="en-AU" w:bidi="ar-SA"/>
        </w:rPr>
        <w:t>Note 2</w:t>
      </w:r>
      <w:r w:rsidRPr="00280892">
        <w:rPr>
          <w:rFonts w:cs="Arial"/>
          <w:iCs/>
          <w:sz w:val="16"/>
          <w:szCs w:val="22"/>
          <w:lang w:eastAsia="en-AU" w:bidi="ar-SA"/>
        </w:rPr>
        <w:tab/>
        <w:t>In this Chapter (see clause 2 of Standard 3.1.1):</w:t>
      </w:r>
    </w:p>
    <w:p w14:paraId="4ECEBAF3" w14:textId="77777777" w:rsidR="00280892" w:rsidRPr="00280892" w:rsidRDefault="00280892" w:rsidP="00280892">
      <w:pPr>
        <w:tabs>
          <w:tab w:val="left" w:pos="1134"/>
        </w:tabs>
        <w:spacing w:before="120" w:after="120"/>
        <w:ind w:left="851" w:hanging="851"/>
        <w:rPr>
          <w:rFonts w:cs="Arial"/>
          <w:iCs/>
          <w:sz w:val="16"/>
          <w:szCs w:val="16"/>
          <w:lang w:eastAsia="en-AU" w:bidi="ar-SA"/>
        </w:rPr>
      </w:pPr>
      <w:r w:rsidRPr="00280892">
        <w:rPr>
          <w:rFonts w:cs="Arial"/>
          <w:b/>
          <w:i/>
          <w:iCs/>
          <w:sz w:val="16"/>
          <w:szCs w:val="16"/>
          <w:lang w:eastAsia="en-AU" w:bidi="ar-SA"/>
        </w:rPr>
        <w:tab/>
        <w:t xml:space="preserve">food business </w:t>
      </w:r>
      <w:r w:rsidRPr="00280892">
        <w:rPr>
          <w:rFonts w:cs="Arial"/>
          <w:iCs/>
          <w:sz w:val="16"/>
          <w:szCs w:val="16"/>
          <w:lang w:eastAsia="en-AU" w:bidi="ar-SA"/>
        </w:rPr>
        <w:t>means a business, enterprise or activity (other than primary food production) that involves –</w:t>
      </w:r>
    </w:p>
    <w:p w14:paraId="6BE6D849" w14:textId="77777777" w:rsidR="00280892" w:rsidRPr="00280892" w:rsidRDefault="00280892" w:rsidP="00280892">
      <w:pPr>
        <w:tabs>
          <w:tab w:val="left" w:pos="1134"/>
        </w:tabs>
        <w:spacing w:before="120" w:after="120"/>
        <w:ind w:left="851" w:hanging="851"/>
        <w:rPr>
          <w:rFonts w:cs="Arial"/>
          <w:iCs/>
          <w:sz w:val="16"/>
          <w:szCs w:val="16"/>
          <w:lang w:eastAsia="en-AU" w:bidi="ar-SA"/>
        </w:rPr>
      </w:pPr>
      <w:r w:rsidRPr="00280892">
        <w:rPr>
          <w:rFonts w:cs="Arial"/>
          <w:b/>
          <w:i/>
          <w:iCs/>
          <w:sz w:val="16"/>
          <w:szCs w:val="16"/>
          <w:lang w:eastAsia="en-AU" w:bidi="ar-SA"/>
        </w:rPr>
        <w:tab/>
      </w:r>
      <w:r w:rsidRPr="00280892">
        <w:rPr>
          <w:rFonts w:cs="Arial"/>
          <w:iCs/>
          <w:sz w:val="16"/>
          <w:szCs w:val="16"/>
          <w:lang w:eastAsia="en-AU" w:bidi="ar-SA"/>
        </w:rPr>
        <w:t>(a) the handling of food intended for sale; or</w:t>
      </w:r>
    </w:p>
    <w:p w14:paraId="12046AD3" w14:textId="77777777" w:rsidR="00280892" w:rsidRPr="00280892" w:rsidRDefault="00280892" w:rsidP="00280892">
      <w:pPr>
        <w:tabs>
          <w:tab w:val="left" w:pos="1134"/>
        </w:tabs>
        <w:spacing w:before="120" w:after="120"/>
        <w:ind w:left="851" w:hanging="851"/>
        <w:rPr>
          <w:rFonts w:cs="Arial"/>
          <w:iCs/>
          <w:sz w:val="16"/>
          <w:szCs w:val="16"/>
          <w:lang w:eastAsia="en-AU" w:bidi="ar-SA"/>
        </w:rPr>
      </w:pPr>
      <w:r w:rsidRPr="00280892">
        <w:rPr>
          <w:rFonts w:cs="Arial"/>
          <w:iCs/>
          <w:sz w:val="16"/>
          <w:szCs w:val="16"/>
          <w:lang w:eastAsia="en-AU" w:bidi="ar-SA"/>
        </w:rPr>
        <w:tab/>
        <w:t>(b) the sale of food;</w:t>
      </w:r>
    </w:p>
    <w:p w14:paraId="4E82CF55" w14:textId="77777777" w:rsidR="00280892" w:rsidRPr="00280892" w:rsidRDefault="00280892" w:rsidP="00280892">
      <w:pPr>
        <w:tabs>
          <w:tab w:val="left" w:pos="1134"/>
        </w:tabs>
        <w:spacing w:before="120" w:after="120"/>
        <w:ind w:left="851" w:hanging="851"/>
        <w:rPr>
          <w:rFonts w:cs="Arial"/>
          <w:b/>
          <w:iCs/>
          <w:sz w:val="16"/>
          <w:szCs w:val="16"/>
          <w:lang w:eastAsia="en-AU" w:bidi="ar-SA"/>
        </w:rPr>
      </w:pPr>
      <w:r w:rsidRPr="00280892">
        <w:rPr>
          <w:rFonts w:cs="Arial"/>
          <w:iCs/>
          <w:sz w:val="16"/>
          <w:szCs w:val="16"/>
          <w:lang w:eastAsia="en-AU" w:bidi="ar-SA"/>
        </w:rPr>
        <w:tab/>
        <w:t>regardless of whether the business, enterprise or activity concerned is of a commercial, charitable or community nature or whether it involves the handling or sale of food on one occasion only.</w:t>
      </w:r>
    </w:p>
    <w:p w14:paraId="0B58CFF1" w14:textId="77777777" w:rsidR="00280892" w:rsidRPr="00280892" w:rsidRDefault="00280892" w:rsidP="00280892">
      <w:pPr>
        <w:tabs>
          <w:tab w:val="left" w:pos="1134"/>
        </w:tabs>
        <w:spacing w:before="120" w:after="120"/>
        <w:ind w:left="851" w:hanging="851"/>
        <w:rPr>
          <w:rFonts w:cs="Arial"/>
          <w:iCs/>
          <w:sz w:val="16"/>
          <w:szCs w:val="16"/>
          <w:lang w:eastAsia="en-AU" w:bidi="ar-SA"/>
        </w:rPr>
      </w:pPr>
      <w:r w:rsidRPr="00280892">
        <w:rPr>
          <w:rFonts w:cs="Arial"/>
          <w:b/>
          <w:i/>
          <w:iCs/>
          <w:sz w:val="16"/>
          <w:szCs w:val="16"/>
          <w:lang w:eastAsia="en-AU" w:bidi="ar-SA"/>
        </w:rPr>
        <w:tab/>
        <w:t xml:space="preserve">food premises </w:t>
      </w:r>
      <w:r w:rsidRPr="00280892">
        <w:rPr>
          <w:rFonts w:cs="Arial"/>
          <w:iCs/>
          <w:sz w:val="16"/>
          <w:szCs w:val="16"/>
          <w:lang w:eastAsia="en-AU" w:bidi="ar-SA"/>
        </w:rPr>
        <w:t>means any premises including land, vehicles, parts of structures, tents, stalls and other temporary structures, boats, pontoons and any other place declared by the relevant authority to be premises under the Food Act kept or used for the handling of food for sale, regardless of whether those premises are owned by the proprietor, including premises used principally as a private dwelling, but does not mean food vending machines or vehicles used only to transport food.</w:t>
      </w:r>
    </w:p>
    <w:p w14:paraId="692DFEC8" w14:textId="208027AC" w:rsidR="00280892" w:rsidRPr="00280892" w:rsidRDefault="00C44A3E" w:rsidP="2DEA2F8C">
      <w:pPr>
        <w:tabs>
          <w:tab w:val="left" w:pos="1134"/>
        </w:tabs>
        <w:spacing w:before="120" w:after="120"/>
        <w:ind w:left="851" w:hanging="851"/>
        <w:rPr>
          <w:rFonts w:cs="Arial"/>
          <w:sz w:val="16"/>
          <w:szCs w:val="16"/>
          <w:lang w:eastAsia="en-AU" w:bidi="ar-SA"/>
        </w:rPr>
      </w:pPr>
      <w:r>
        <w:rPr>
          <w:rFonts w:cs="Arial"/>
          <w:b/>
          <w:bCs/>
          <w:i/>
          <w:iCs/>
          <w:sz w:val="16"/>
          <w:szCs w:val="16"/>
          <w:lang w:eastAsia="en-AU" w:bidi="ar-SA"/>
        </w:rPr>
        <w:tab/>
      </w:r>
      <w:r w:rsidR="00280892" w:rsidRPr="2DEA2F8C">
        <w:rPr>
          <w:rFonts w:cs="Arial"/>
          <w:b/>
          <w:bCs/>
          <w:i/>
          <w:iCs/>
          <w:sz w:val="16"/>
          <w:szCs w:val="16"/>
          <w:lang w:eastAsia="en-AU" w:bidi="ar-SA"/>
        </w:rPr>
        <w:t xml:space="preserve">handling </w:t>
      </w:r>
      <w:r w:rsidR="00280892" w:rsidRPr="2DEA2F8C">
        <w:rPr>
          <w:rFonts w:cs="Arial"/>
          <w:sz w:val="16"/>
          <w:szCs w:val="16"/>
          <w:lang w:eastAsia="en-AU" w:bidi="ar-SA"/>
        </w:rPr>
        <w:t>of food</w:t>
      </w:r>
      <w:r w:rsidR="00280892" w:rsidRPr="2DEA2F8C">
        <w:rPr>
          <w:rFonts w:cs="Arial"/>
          <w:b/>
          <w:bCs/>
          <w:i/>
          <w:iCs/>
          <w:sz w:val="16"/>
          <w:szCs w:val="16"/>
          <w:lang w:eastAsia="en-AU" w:bidi="ar-SA"/>
        </w:rPr>
        <w:t xml:space="preserve"> </w:t>
      </w:r>
      <w:r w:rsidR="00280892" w:rsidRPr="2DEA2F8C">
        <w:rPr>
          <w:rFonts w:cs="Arial"/>
          <w:sz w:val="16"/>
          <w:szCs w:val="16"/>
          <w:lang w:eastAsia="en-AU" w:bidi="ar-SA"/>
        </w:rPr>
        <w:t>includes the making, manufacturing, producing, collecting, extracting, processing, storing, transporting, delivering, preparing, treating, preserving, packing, cooking, thawing, serving or displaying of food.</w:t>
      </w:r>
    </w:p>
    <w:p w14:paraId="24941B45"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3.2.2A—3</w:t>
      </w:r>
      <w:r w:rsidRPr="00280892">
        <w:rPr>
          <w:b/>
          <w:bCs/>
          <w:kern w:val="32"/>
          <w:lang w:eastAsia="en-AU" w:bidi="ar-SA"/>
        </w:rPr>
        <w:tab/>
        <w:t>Application of this Standard</w:t>
      </w:r>
    </w:p>
    <w:p w14:paraId="60E6ED06" w14:textId="77777777" w:rsidR="00280892" w:rsidRPr="00280892" w:rsidRDefault="00280892" w:rsidP="00280892">
      <w:pPr>
        <w:tabs>
          <w:tab w:val="left" w:pos="1134"/>
        </w:tabs>
        <w:spacing w:before="120" w:after="120"/>
        <w:ind w:left="1701" w:hanging="1701"/>
        <w:rPr>
          <w:rFonts w:cs="Arial"/>
          <w:iCs/>
          <w:sz w:val="20"/>
          <w:szCs w:val="22"/>
          <w:lang w:eastAsia="en-AU" w:bidi="ar-SA"/>
        </w:rPr>
      </w:pPr>
      <w:r w:rsidRPr="00280892">
        <w:rPr>
          <w:rFonts w:cs="Arial"/>
          <w:iCs/>
          <w:sz w:val="20"/>
          <w:szCs w:val="22"/>
          <w:lang w:eastAsia="en-AU" w:bidi="ar-SA"/>
        </w:rPr>
        <w:tab/>
        <w:t>(1)</w:t>
      </w:r>
      <w:r w:rsidRPr="00280892">
        <w:rPr>
          <w:rFonts w:cs="Arial"/>
          <w:iCs/>
          <w:sz w:val="20"/>
          <w:szCs w:val="22"/>
          <w:lang w:eastAsia="en-AU" w:bidi="ar-SA"/>
        </w:rPr>
        <w:tab/>
        <w:t xml:space="preserve">This Standard applies to a food business in Australia that is a </w:t>
      </w:r>
      <w:r w:rsidRPr="00280892">
        <w:rPr>
          <w:rFonts w:cs="Arial"/>
          <w:iCs/>
          <w:sz w:val="20"/>
          <w:szCs w:val="20"/>
          <w:lang w:eastAsia="en-AU" w:bidi="ar-SA"/>
        </w:rPr>
        <w:t>category one business or a category two business</w:t>
      </w:r>
      <w:r w:rsidRPr="00280892">
        <w:rPr>
          <w:rFonts w:cs="Arial"/>
          <w:iCs/>
          <w:sz w:val="20"/>
          <w:szCs w:val="22"/>
          <w:lang w:eastAsia="en-AU" w:bidi="ar-SA"/>
        </w:rPr>
        <w:t>.</w:t>
      </w:r>
    </w:p>
    <w:p w14:paraId="161FD98C" w14:textId="77777777" w:rsidR="00280892" w:rsidRPr="00280892" w:rsidRDefault="00280892" w:rsidP="00280892">
      <w:pPr>
        <w:tabs>
          <w:tab w:val="left" w:pos="1134"/>
        </w:tabs>
        <w:spacing w:before="120" w:after="120"/>
        <w:ind w:left="1701" w:hanging="1701"/>
        <w:rPr>
          <w:rFonts w:cs="Arial"/>
          <w:iCs/>
          <w:sz w:val="20"/>
          <w:szCs w:val="22"/>
          <w:lang w:eastAsia="en-AU" w:bidi="ar-SA"/>
        </w:rPr>
      </w:pPr>
      <w:r w:rsidRPr="00280892">
        <w:rPr>
          <w:rFonts w:cs="Arial"/>
          <w:iCs/>
          <w:sz w:val="20"/>
          <w:szCs w:val="22"/>
          <w:lang w:eastAsia="en-AU" w:bidi="ar-SA"/>
        </w:rPr>
        <w:tab/>
        <w:t>(2)</w:t>
      </w:r>
      <w:r w:rsidRPr="00280892">
        <w:rPr>
          <w:rFonts w:cs="Arial"/>
          <w:iCs/>
          <w:sz w:val="20"/>
          <w:szCs w:val="22"/>
          <w:lang w:eastAsia="en-AU" w:bidi="ar-SA"/>
        </w:rPr>
        <w:tab/>
        <w:t>This Standard does not apply to the handling of food for or at a *fund raising event</w:t>
      </w:r>
      <w:r w:rsidRPr="00280892">
        <w:rPr>
          <w:rFonts w:cs="Arial"/>
          <w:iCs/>
          <w:sz w:val="20"/>
          <w:szCs w:val="22"/>
          <w:lang w:eastAsia="en-GB" w:bidi="ar-SA"/>
        </w:rPr>
        <w:t>.</w:t>
      </w:r>
    </w:p>
    <w:p w14:paraId="5EE98595"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3.2.2A—4</w:t>
      </w:r>
      <w:r w:rsidRPr="00280892">
        <w:rPr>
          <w:b/>
          <w:bCs/>
          <w:kern w:val="32"/>
          <w:lang w:eastAsia="en-AU" w:bidi="ar-SA"/>
        </w:rPr>
        <w:tab/>
        <w:t>Food service</w:t>
      </w:r>
      <w:r w:rsidRPr="00280892">
        <w:rPr>
          <w:b/>
          <w:bCs/>
          <w:kern w:val="32"/>
          <w:lang w:eastAsia="en-AU" w:bidi="ar-SA"/>
        </w:rPr>
        <w:tab/>
      </w:r>
    </w:p>
    <w:p w14:paraId="3FB68809" w14:textId="77777777" w:rsidR="00280892" w:rsidRPr="00280892" w:rsidRDefault="00280892" w:rsidP="004D26C5">
      <w:pPr>
        <w:tabs>
          <w:tab w:val="left" w:pos="1134"/>
        </w:tabs>
        <w:spacing w:before="120" w:after="120"/>
        <w:ind w:left="1701" w:hanging="567"/>
        <w:rPr>
          <w:rFonts w:cs="Arial"/>
          <w:sz w:val="20"/>
          <w:szCs w:val="20"/>
          <w:lang w:eastAsia="en-AU" w:bidi="ar-SA"/>
        </w:rPr>
      </w:pPr>
      <w:r w:rsidRPr="2DEA2F8C">
        <w:rPr>
          <w:rFonts w:cs="Arial"/>
          <w:sz w:val="20"/>
          <w:szCs w:val="20"/>
          <w:lang w:eastAsia="en-AU" w:bidi="ar-SA"/>
        </w:rPr>
        <w:t>(1)</w:t>
      </w:r>
      <w:r w:rsidRPr="00280892">
        <w:rPr>
          <w:rFonts w:cs="Arial"/>
          <w:iCs/>
          <w:sz w:val="20"/>
          <w:szCs w:val="22"/>
          <w:lang w:eastAsia="en-AU" w:bidi="ar-SA"/>
        </w:rPr>
        <w:tab/>
      </w:r>
      <w:r w:rsidRPr="2DEA2F8C">
        <w:rPr>
          <w:rFonts w:cs="Arial"/>
          <w:sz w:val="20"/>
          <w:szCs w:val="20"/>
          <w:lang w:eastAsia="en-AU" w:bidi="ar-SA"/>
        </w:rPr>
        <w:t xml:space="preserve">For the </w:t>
      </w:r>
      <w:r w:rsidRPr="005B7115">
        <w:rPr>
          <w:rFonts w:cs="Arial"/>
          <w:iCs/>
          <w:sz w:val="20"/>
          <w:szCs w:val="22"/>
          <w:lang w:eastAsia="en-AU" w:bidi="ar-SA"/>
        </w:rPr>
        <w:t>purposes</w:t>
      </w:r>
      <w:r w:rsidRPr="2DEA2F8C">
        <w:rPr>
          <w:rFonts w:cs="Arial"/>
          <w:sz w:val="20"/>
          <w:szCs w:val="20"/>
          <w:lang w:eastAsia="en-AU" w:bidi="ar-SA"/>
        </w:rPr>
        <w:t xml:space="preserve"> of this Standard, </w:t>
      </w:r>
      <w:r w:rsidRPr="2DEA2F8C">
        <w:rPr>
          <w:rFonts w:cs="Arial"/>
          <w:b/>
          <w:bCs/>
          <w:i/>
          <w:iCs/>
          <w:sz w:val="20"/>
          <w:szCs w:val="20"/>
          <w:lang w:eastAsia="en-AU" w:bidi="ar-SA"/>
        </w:rPr>
        <w:t>food service</w:t>
      </w:r>
      <w:r w:rsidRPr="2DEA2F8C">
        <w:rPr>
          <w:rFonts w:cs="Arial"/>
          <w:sz w:val="20"/>
          <w:szCs w:val="20"/>
          <w:lang w:eastAsia="en-AU" w:bidi="ar-SA"/>
        </w:rPr>
        <w:t xml:space="preserve"> means a food business which processes and serves ready-to-eat food direct to a consumer, whether consumed at the food premises or elsewhere.</w:t>
      </w:r>
    </w:p>
    <w:p w14:paraId="588D921E" w14:textId="77777777" w:rsidR="00280892" w:rsidRPr="00280892" w:rsidRDefault="00280892" w:rsidP="004D26C5">
      <w:pPr>
        <w:tabs>
          <w:tab w:val="left" w:pos="1134"/>
        </w:tabs>
        <w:spacing w:before="120" w:after="120"/>
        <w:ind w:left="1701" w:hanging="567"/>
        <w:rPr>
          <w:rFonts w:cs="Arial"/>
          <w:sz w:val="20"/>
          <w:szCs w:val="20"/>
          <w:lang w:eastAsia="en-AU" w:bidi="ar-SA"/>
        </w:rPr>
      </w:pPr>
      <w:r w:rsidRPr="2DEA2F8C">
        <w:rPr>
          <w:rFonts w:cs="Arial"/>
          <w:sz w:val="20"/>
          <w:szCs w:val="20"/>
          <w:lang w:eastAsia="en-AU" w:bidi="ar-SA"/>
        </w:rPr>
        <w:t>(2)</w:t>
      </w:r>
      <w:r w:rsidRPr="00280892">
        <w:rPr>
          <w:rFonts w:cs="Arial"/>
          <w:iCs/>
          <w:sz w:val="20"/>
          <w:szCs w:val="22"/>
          <w:lang w:eastAsia="en-AU" w:bidi="ar-SA"/>
        </w:rPr>
        <w:tab/>
      </w:r>
      <w:r w:rsidRPr="2DEA2F8C">
        <w:rPr>
          <w:rFonts w:cs="Arial"/>
          <w:sz w:val="20"/>
          <w:szCs w:val="20"/>
          <w:lang w:eastAsia="en-AU" w:bidi="ar-SA"/>
        </w:rPr>
        <w:t xml:space="preserve">For the purposes of subsection (1), </w:t>
      </w:r>
      <w:r w:rsidRPr="2DEA2F8C">
        <w:rPr>
          <w:rFonts w:cs="Arial"/>
          <w:b/>
          <w:bCs/>
          <w:i/>
          <w:iCs/>
          <w:sz w:val="20"/>
          <w:szCs w:val="20"/>
          <w:lang w:eastAsia="en-AU" w:bidi="ar-SA"/>
        </w:rPr>
        <w:t>serve</w:t>
      </w:r>
      <w:r w:rsidRPr="2DEA2F8C">
        <w:rPr>
          <w:rFonts w:cs="Arial"/>
          <w:sz w:val="20"/>
          <w:szCs w:val="20"/>
          <w:lang w:eastAsia="en-AU" w:bidi="ar-SA"/>
        </w:rPr>
        <w:t xml:space="preserve"> means the act of setting out or presenting food to or for a person to eat that food and includes the following activities:</w:t>
      </w:r>
    </w:p>
    <w:p w14:paraId="4A2B625D" w14:textId="77777777" w:rsidR="00280892" w:rsidRPr="00280892" w:rsidRDefault="00280892" w:rsidP="00614AF5">
      <w:pPr>
        <w:numPr>
          <w:ilvl w:val="0"/>
          <w:numId w:val="38"/>
        </w:numPr>
        <w:tabs>
          <w:tab w:val="left" w:pos="1701"/>
        </w:tabs>
        <w:spacing w:before="120" w:after="120"/>
        <w:ind w:left="2268" w:hanging="567"/>
        <w:rPr>
          <w:rFonts w:cs="Arial"/>
          <w:iCs/>
          <w:sz w:val="20"/>
          <w:szCs w:val="20"/>
          <w:lang w:eastAsia="en-AU" w:bidi="ar-SA"/>
        </w:rPr>
      </w:pPr>
      <w:r w:rsidRPr="00280892">
        <w:rPr>
          <w:rFonts w:cs="Arial"/>
          <w:iCs/>
          <w:sz w:val="20"/>
          <w:szCs w:val="20"/>
          <w:lang w:eastAsia="en-AU" w:bidi="ar-SA"/>
        </w:rPr>
        <w:t>portioning food from a bulk tray or container into single serves and placing it on plates; or</w:t>
      </w:r>
    </w:p>
    <w:p w14:paraId="7D695EFA" w14:textId="77777777" w:rsidR="00280892" w:rsidRPr="00280892" w:rsidRDefault="00280892" w:rsidP="00614AF5">
      <w:pPr>
        <w:numPr>
          <w:ilvl w:val="0"/>
          <w:numId w:val="38"/>
        </w:numPr>
        <w:tabs>
          <w:tab w:val="left" w:pos="1701"/>
        </w:tabs>
        <w:spacing w:before="120" w:after="120"/>
        <w:ind w:left="2268" w:hanging="567"/>
        <w:rPr>
          <w:rFonts w:cs="Arial"/>
          <w:iCs/>
          <w:sz w:val="20"/>
          <w:szCs w:val="20"/>
          <w:lang w:eastAsia="en-AU" w:bidi="ar-SA"/>
        </w:rPr>
      </w:pPr>
      <w:r w:rsidRPr="00280892">
        <w:rPr>
          <w:rFonts w:cs="Arial"/>
          <w:iCs/>
          <w:sz w:val="20"/>
          <w:szCs w:val="20"/>
          <w:lang w:eastAsia="en-AU" w:bidi="ar-SA"/>
        </w:rPr>
        <w:t>presenting food in a bain-marie or other bulk food display unit for self</w:t>
      </w:r>
      <w:r w:rsidRPr="00280892">
        <w:rPr>
          <w:rFonts w:cs="Arial"/>
          <w:iCs/>
          <w:sz w:val="20"/>
          <w:szCs w:val="20"/>
          <w:lang w:eastAsia="en-AU" w:bidi="ar-SA"/>
        </w:rPr>
        <w:noBreakHyphen/>
        <w:t>service; or</w:t>
      </w:r>
    </w:p>
    <w:p w14:paraId="4E6D8AD1" w14:textId="77777777" w:rsidR="00280892" w:rsidRPr="00280892" w:rsidRDefault="00280892" w:rsidP="00614AF5">
      <w:pPr>
        <w:numPr>
          <w:ilvl w:val="0"/>
          <w:numId w:val="38"/>
        </w:numPr>
        <w:tabs>
          <w:tab w:val="left" w:pos="1701"/>
        </w:tabs>
        <w:spacing w:before="120" w:after="120"/>
        <w:ind w:left="2268" w:hanging="567"/>
        <w:rPr>
          <w:rFonts w:cs="Arial"/>
          <w:iCs/>
          <w:sz w:val="20"/>
          <w:szCs w:val="20"/>
          <w:lang w:eastAsia="en-AU" w:bidi="ar-SA"/>
        </w:rPr>
      </w:pPr>
      <w:r w:rsidRPr="00280892">
        <w:rPr>
          <w:rFonts w:cs="Arial"/>
          <w:iCs/>
          <w:sz w:val="20"/>
          <w:szCs w:val="20"/>
          <w:lang w:eastAsia="en-AU" w:bidi="ar-SA"/>
        </w:rPr>
        <w:t>delivery of plated food.</w:t>
      </w:r>
    </w:p>
    <w:p w14:paraId="5B734047"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3.2.2A—5</w:t>
      </w:r>
      <w:r w:rsidRPr="00280892">
        <w:rPr>
          <w:b/>
          <w:bCs/>
          <w:kern w:val="32"/>
          <w:lang w:eastAsia="en-AU" w:bidi="ar-SA"/>
        </w:rPr>
        <w:tab/>
        <w:t>Prescribed activities</w:t>
      </w:r>
      <w:r w:rsidRPr="00280892">
        <w:rPr>
          <w:b/>
          <w:bCs/>
          <w:kern w:val="32"/>
          <w:lang w:eastAsia="en-AU" w:bidi="ar-SA"/>
        </w:rPr>
        <w:tab/>
      </w:r>
    </w:p>
    <w:p w14:paraId="6F75C127" w14:textId="77777777" w:rsidR="00280892" w:rsidRPr="00280892" w:rsidRDefault="00280892" w:rsidP="000D31D2">
      <w:pPr>
        <w:tabs>
          <w:tab w:val="left" w:pos="1134"/>
        </w:tabs>
        <w:spacing w:before="120" w:after="120"/>
        <w:ind w:left="1701"/>
        <w:rPr>
          <w:rFonts w:cs="Arial"/>
          <w:sz w:val="20"/>
          <w:szCs w:val="20"/>
          <w:lang w:eastAsia="en-AU" w:bidi="ar-SA"/>
        </w:rPr>
      </w:pPr>
      <w:r w:rsidRPr="2DEA2F8C">
        <w:rPr>
          <w:rFonts w:cs="Arial"/>
          <w:sz w:val="20"/>
          <w:szCs w:val="20"/>
          <w:lang w:eastAsia="en-AU" w:bidi="ar-SA"/>
        </w:rPr>
        <w:t>For the purposes of this Standard, a prescribed activity is the handling by the food business of any unpackaged potentially hazardous food that:</w:t>
      </w:r>
    </w:p>
    <w:p w14:paraId="137FDB73" w14:textId="77777777" w:rsidR="00280892" w:rsidRPr="00280892" w:rsidRDefault="00280892" w:rsidP="00614AF5">
      <w:pPr>
        <w:numPr>
          <w:ilvl w:val="0"/>
          <w:numId w:val="42"/>
        </w:numPr>
        <w:tabs>
          <w:tab w:val="left" w:pos="1701"/>
        </w:tabs>
        <w:spacing w:before="120" w:after="120"/>
        <w:ind w:left="2268" w:hanging="567"/>
        <w:rPr>
          <w:rFonts w:cs="Arial"/>
          <w:iCs/>
          <w:sz w:val="20"/>
          <w:szCs w:val="20"/>
          <w:lang w:eastAsia="en-AU" w:bidi="ar-SA"/>
        </w:rPr>
      </w:pPr>
      <w:r w:rsidRPr="00280892">
        <w:rPr>
          <w:rFonts w:cs="Arial"/>
          <w:iCs/>
          <w:sz w:val="20"/>
          <w:szCs w:val="20"/>
          <w:lang w:eastAsia="en-AU" w:bidi="ar-SA"/>
        </w:rPr>
        <w:t>is used in the preparation of ready-to-eat food to be served to a consumer; or</w:t>
      </w:r>
    </w:p>
    <w:p w14:paraId="2B127C02" w14:textId="77777777" w:rsidR="00280892" w:rsidRPr="00280892" w:rsidRDefault="00280892" w:rsidP="00614AF5">
      <w:pPr>
        <w:numPr>
          <w:ilvl w:val="0"/>
          <w:numId w:val="42"/>
        </w:numPr>
        <w:tabs>
          <w:tab w:val="left" w:pos="1701"/>
        </w:tabs>
        <w:spacing w:before="120" w:after="120"/>
        <w:ind w:left="2268" w:hanging="567"/>
        <w:rPr>
          <w:rFonts w:cs="Arial"/>
          <w:iCs/>
          <w:sz w:val="20"/>
          <w:szCs w:val="20"/>
          <w:lang w:eastAsia="en-AU" w:bidi="ar-SA"/>
        </w:rPr>
      </w:pPr>
      <w:r w:rsidRPr="00280892">
        <w:rPr>
          <w:rFonts w:cs="Arial"/>
          <w:iCs/>
          <w:sz w:val="20"/>
          <w:szCs w:val="20"/>
          <w:lang w:eastAsia="en-AU" w:bidi="ar-SA"/>
        </w:rPr>
        <w:t>is ready-to-eat food intended</w:t>
      </w:r>
      <w:r w:rsidRPr="00280892" w:rsidDel="00FF12B5">
        <w:rPr>
          <w:rFonts w:cs="Arial"/>
          <w:iCs/>
          <w:sz w:val="20"/>
          <w:szCs w:val="20"/>
          <w:lang w:eastAsia="en-AU" w:bidi="ar-SA"/>
        </w:rPr>
        <w:t xml:space="preserve"> </w:t>
      </w:r>
      <w:r w:rsidRPr="00280892">
        <w:rPr>
          <w:rFonts w:cs="Arial"/>
          <w:iCs/>
          <w:sz w:val="20"/>
          <w:szCs w:val="20"/>
          <w:lang w:eastAsia="en-AU" w:bidi="ar-SA"/>
        </w:rPr>
        <w:t>for retail sale by that business.</w:t>
      </w:r>
    </w:p>
    <w:p w14:paraId="7F2C1929"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lastRenderedPageBreak/>
        <w:t>3.2.2A—6</w:t>
      </w:r>
      <w:r w:rsidRPr="00280892">
        <w:rPr>
          <w:b/>
          <w:bCs/>
          <w:kern w:val="32"/>
          <w:lang w:eastAsia="en-AU" w:bidi="ar-SA"/>
        </w:rPr>
        <w:tab/>
        <w:t>Category one business</w:t>
      </w:r>
      <w:r w:rsidRPr="00280892">
        <w:rPr>
          <w:b/>
          <w:bCs/>
          <w:kern w:val="32"/>
          <w:lang w:eastAsia="en-AU" w:bidi="ar-SA"/>
        </w:rPr>
        <w:tab/>
      </w:r>
    </w:p>
    <w:p w14:paraId="59CE4230" w14:textId="77777777" w:rsidR="00280892" w:rsidRPr="00280892" w:rsidRDefault="00280892" w:rsidP="00280892">
      <w:pPr>
        <w:tabs>
          <w:tab w:val="left" w:pos="1134"/>
          <w:tab w:val="left" w:pos="1701"/>
        </w:tabs>
        <w:spacing w:before="60" w:after="60"/>
        <w:ind w:left="1701" w:hanging="1701"/>
        <w:rPr>
          <w:rFonts w:cs="Arial"/>
          <w:iCs/>
          <w:sz w:val="20"/>
          <w:szCs w:val="22"/>
          <w:lang w:eastAsia="en-AU" w:bidi="ar-SA"/>
        </w:rPr>
      </w:pPr>
      <w:r w:rsidRPr="00280892">
        <w:rPr>
          <w:rFonts w:cs="Arial"/>
          <w:iCs/>
          <w:sz w:val="20"/>
          <w:szCs w:val="22"/>
          <w:lang w:eastAsia="en-AU" w:bidi="ar-SA"/>
        </w:rPr>
        <w:tab/>
      </w:r>
      <w:r w:rsidRPr="00280892">
        <w:rPr>
          <w:rFonts w:cs="Arial"/>
          <w:iCs/>
          <w:sz w:val="20"/>
          <w:szCs w:val="22"/>
          <w:lang w:eastAsia="en-AU" w:bidi="ar-SA"/>
        </w:rPr>
        <w:tab/>
        <w:t xml:space="preserve">For the purposes of this Standard, </w:t>
      </w:r>
      <w:r w:rsidRPr="00280892">
        <w:rPr>
          <w:rFonts w:cs="Arial"/>
          <w:b/>
          <w:bCs/>
          <w:i/>
          <w:sz w:val="20"/>
          <w:szCs w:val="22"/>
          <w:lang w:eastAsia="en-AU" w:bidi="ar-SA"/>
        </w:rPr>
        <w:t>a</w:t>
      </w:r>
      <w:r w:rsidRPr="00280892">
        <w:rPr>
          <w:rFonts w:cs="Arial"/>
          <w:b/>
          <w:bCs/>
          <w:iCs/>
          <w:sz w:val="20"/>
          <w:szCs w:val="22"/>
          <w:lang w:eastAsia="en-AU" w:bidi="ar-SA"/>
        </w:rPr>
        <w:t xml:space="preserve"> </w:t>
      </w:r>
      <w:r w:rsidRPr="00280892">
        <w:rPr>
          <w:rFonts w:cs="Arial"/>
          <w:b/>
          <w:bCs/>
          <w:i/>
          <w:sz w:val="20"/>
          <w:szCs w:val="22"/>
          <w:lang w:eastAsia="en-AU" w:bidi="ar-SA"/>
        </w:rPr>
        <w:t>category one business</w:t>
      </w:r>
      <w:r w:rsidRPr="00280892">
        <w:rPr>
          <w:rFonts w:cs="Arial"/>
          <w:iCs/>
          <w:sz w:val="20"/>
          <w:szCs w:val="22"/>
          <w:lang w:eastAsia="en-AU" w:bidi="ar-SA"/>
        </w:rPr>
        <w:t xml:space="preserve"> means a food business that:</w:t>
      </w:r>
    </w:p>
    <w:p w14:paraId="58CE14DC" w14:textId="77777777" w:rsidR="00280892" w:rsidRPr="00280892" w:rsidRDefault="00280892" w:rsidP="00614AF5">
      <w:pPr>
        <w:numPr>
          <w:ilvl w:val="0"/>
          <w:numId w:val="41"/>
        </w:numPr>
        <w:spacing w:before="60" w:after="60"/>
        <w:ind w:left="2268" w:hanging="567"/>
        <w:rPr>
          <w:rFonts w:cs="Arial"/>
          <w:iCs/>
          <w:sz w:val="20"/>
          <w:szCs w:val="22"/>
          <w:lang w:eastAsia="en-AU" w:bidi="ar-SA"/>
        </w:rPr>
      </w:pPr>
      <w:r w:rsidRPr="00280892">
        <w:rPr>
          <w:rFonts w:cs="Arial"/>
          <w:iCs/>
          <w:sz w:val="20"/>
          <w:szCs w:val="22"/>
          <w:lang w:eastAsia="en-AU" w:bidi="ar-SA"/>
        </w:rPr>
        <w:t>is a *caterer or a food service; and</w:t>
      </w:r>
    </w:p>
    <w:p w14:paraId="75032B90" w14:textId="77777777" w:rsidR="00280892" w:rsidRPr="00280892" w:rsidRDefault="00280892" w:rsidP="00614AF5">
      <w:pPr>
        <w:numPr>
          <w:ilvl w:val="0"/>
          <w:numId w:val="41"/>
        </w:numPr>
        <w:spacing w:before="60" w:after="60"/>
        <w:ind w:left="2268" w:hanging="567"/>
        <w:rPr>
          <w:rFonts w:cs="Arial"/>
          <w:iCs/>
          <w:sz w:val="20"/>
          <w:szCs w:val="22"/>
          <w:lang w:eastAsia="en-AU" w:bidi="ar-SA"/>
        </w:rPr>
      </w:pPr>
      <w:r w:rsidRPr="00280892">
        <w:rPr>
          <w:rFonts w:cs="Arial"/>
          <w:iCs/>
          <w:sz w:val="20"/>
          <w:szCs w:val="22"/>
          <w:lang w:eastAsia="en-AU" w:bidi="ar-SA"/>
        </w:rPr>
        <w:t>processes unpackaged potentially hazardous food into a food that is:</w:t>
      </w:r>
    </w:p>
    <w:p w14:paraId="15AB25E1" w14:textId="0DCB57AE" w:rsidR="00280892" w:rsidRPr="0001175D" w:rsidRDefault="00280892" w:rsidP="0001175D">
      <w:pPr>
        <w:numPr>
          <w:ilvl w:val="0"/>
          <w:numId w:val="40"/>
        </w:numPr>
        <w:spacing w:before="60" w:after="60"/>
        <w:rPr>
          <w:rFonts w:cs="Arial"/>
          <w:iCs/>
          <w:sz w:val="20"/>
          <w:lang w:eastAsia="en-AU"/>
        </w:rPr>
      </w:pPr>
      <w:r w:rsidRPr="0001175D">
        <w:rPr>
          <w:rFonts w:cs="Arial"/>
          <w:iCs/>
          <w:sz w:val="20"/>
          <w:lang w:eastAsia="en-AU"/>
        </w:rPr>
        <w:t>potentially hazardous food; and</w:t>
      </w:r>
    </w:p>
    <w:p w14:paraId="61D8F83C" w14:textId="768DE85E" w:rsidR="00280892" w:rsidRPr="0001175D" w:rsidRDefault="00280892" w:rsidP="0001175D">
      <w:pPr>
        <w:numPr>
          <w:ilvl w:val="0"/>
          <w:numId w:val="40"/>
        </w:numPr>
        <w:spacing w:before="60" w:after="60"/>
        <w:rPr>
          <w:rFonts w:cs="Arial"/>
          <w:iCs/>
          <w:sz w:val="20"/>
          <w:lang w:eastAsia="en-AU"/>
        </w:rPr>
      </w:pPr>
      <w:r w:rsidRPr="0001175D">
        <w:rPr>
          <w:rFonts w:cs="Arial"/>
          <w:iCs/>
          <w:sz w:val="20"/>
          <w:lang w:eastAsia="en-AU"/>
        </w:rPr>
        <w:t>ready-to-eat food.</w:t>
      </w:r>
    </w:p>
    <w:p w14:paraId="5BB80B48"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3.2.2A—7</w:t>
      </w:r>
      <w:r w:rsidRPr="00280892">
        <w:rPr>
          <w:b/>
          <w:bCs/>
          <w:kern w:val="32"/>
          <w:lang w:eastAsia="en-AU" w:bidi="ar-SA"/>
        </w:rPr>
        <w:tab/>
        <w:t>Category two business</w:t>
      </w:r>
      <w:r w:rsidRPr="00280892">
        <w:rPr>
          <w:b/>
          <w:bCs/>
          <w:kern w:val="32"/>
          <w:lang w:eastAsia="en-AU" w:bidi="ar-SA"/>
        </w:rPr>
        <w:tab/>
      </w:r>
    </w:p>
    <w:p w14:paraId="3E95C22A" w14:textId="77777777" w:rsidR="00280892" w:rsidRPr="00280892" w:rsidRDefault="00280892" w:rsidP="00280892">
      <w:pPr>
        <w:tabs>
          <w:tab w:val="left" w:pos="1701"/>
        </w:tabs>
        <w:spacing w:before="60" w:after="60"/>
        <w:ind w:left="1701" w:hanging="567"/>
        <w:rPr>
          <w:rFonts w:cs="Arial"/>
          <w:iCs/>
          <w:sz w:val="20"/>
          <w:szCs w:val="20"/>
          <w:lang w:eastAsia="en-AU" w:bidi="ar-SA"/>
        </w:rPr>
      </w:pPr>
      <w:r w:rsidRPr="00280892">
        <w:rPr>
          <w:rFonts w:cs="Arial"/>
          <w:iCs/>
          <w:sz w:val="20"/>
          <w:szCs w:val="20"/>
          <w:lang w:eastAsia="en-AU" w:bidi="ar-SA"/>
        </w:rPr>
        <w:tab/>
        <w:t xml:space="preserve">For the purposes of this Standard, a </w:t>
      </w:r>
      <w:r w:rsidRPr="00280892">
        <w:rPr>
          <w:rFonts w:cs="Arial"/>
          <w:b/>
          <w:i/>
          <w:iCs/>
          <w:sz w:val="20"/>
          <w:szCs w:val="20"/>
          <w:lang w:eastAsia="en-AU" w:bidi="ar-SA"/>
        </w:rPr>
        <w:t>category two business</w:t>
      </w:r>
      <w:r w:rsidRPr="00280892">
        <w:rPr>
          <w:rFonts w:cs="Arial"/>
          <w:iCs/>
          <w:sz w:val="20"/>
          <w:szCs w:val="20"/>
          <w:lang w:eastAsia="en-AU" w:bidi="ar-SA"/>
        </w:rPr>
        <w:t xml:space="preserve"> means a food business that offers for retail sale a food that is</w:t>
      </w:r>
      <w:r w:rsidRPr="00280892">
        <w:rPr>
          <w:rFonts w:cs="Arial"/>
          <w:iCs/>
          <w:sz w:val="20"/>
          <w:szCs w:val="20"/>
          <w:lang w:val="en-AU" w:eastAsia="en-AU" w:bidi="ar-SA"/>
        </w:rPr>
        <w:t>:</w:t>
      </w:r>
    </w:p>
    <w:p w14:paraId="1246AC83" w14:textId="77777777" w:rsidR="00280892" w:rsidRPr="00280892" w:rsidRDefault="00280892" w:rsidP="00614AF5">
      <w:pPr>
        <w:numPr>
          <w:ilvl w:val="0"/>
          <w:numId w:val="39"/>
        </w:numPr>
        <w:tabs>
          <w:tab w:val="left" w:pos="1701"/>
        </w:tabs>
        <w:spacing w:before="60" w:after="60"/>
        <w:ind w:left="2268" w:hanging="567"/>
        <w:rPr>
          <w:rFonts w:cs="Arial"/>
          <w:iCs/>
          <w:sz w:val="20"/>
          <w:szCs w:val="20"/>
          <w:lang w:eastAsia="en-AU" w:bidi="ar-SA"/>
        </w:rPr>
      </w:pPr>
      <w:r w:rsidRPr="00280892">
        <w:rPr>
          <w:rFonts w:cs="Arial"/>
          <w:iCs/>
          <w:sz w:val="20"/>
          <w:szCs w:val="20"/>
          <w:lang w:eastAsia="en-AU" w:bidi="ar-SA"/>
        </w:rPr>
        <w:t>potentially hazardous food; and</w:t>
      </w:r>
    </w:p>
    <w:p w14:paraId="3C54DC9B" w14:textId="77777777" w:rsidR="00280892" w:rsidRPr="00280892" w:rsidRDefault="00280892" w:rsidP="00614AF5">
      <w:pPr>
        <w:numPr>
          <w:ilvl w:val="0"/>
          <w:numId w:val="39"/>
        </w:numPr>
        <w:tabs>
          <w:tab w:val="left" w:pos="1701"/>
        </w:tabs>
        <w:spacing w:before="60" w:after="60"/>
        <w:ind w:left="2268" w:hanging="567"/>
        <w:rPr>
          <w:rFonts w:cs="Arial"/>
          <w:iCs/>
          <w:sz w:val="20"/>
          <w:szCs w:val="20"/>
          <w:lang w:eastAsia="en-AU" w:bidi="ar-SA"/>
        </w:rPr>
      </w:pPr>
      <w:r w:rsidRPr="00280892">
        <w:rPr>
          <w:rFonts w:cs="Arial"/>
          <w:iCs/>
          <w:sz w:val="20"/>
          <w:szCs w:val="20"/>
          <w:lang w:eastAsia="en-AU" w:bidi="ar-SA"/>
        </w:rPr>
        <w:t>ready-to-eat food</w:t>
      </w:r>
      <w:r w:rsidRPr="00280892">
        <w:rPr>
          <w:rFonts w:cs="Arial"/>
          <w:iCs/>
          <w:sz w:val="20"/>
          <w:szCs w:val="20"/>
          <w:lang w:val="en-AU" w:eastAsia="en-AU" w:bidi="ar-SA"/>
        </w:rPr>
        <w:t>; and</w:t>
      </w:r>
    </w:p>
    <w:p w14:paraId="1E9FF6EF" w14:textId="77777777" w:rsidR="00280892" w:rsidRPr="00280892" w:rsidRDefault="00280892" w:rsidP="00280892">
      <w:pPr>
        <w:tabs>
          <w:tab w:val="left" w:pos="1701"/>
        </w:tabs>
        <w:spacing w:before="60" w:after="60"/>
        <w:ind w:left="1701" w:hanging="2268"/>
        <w:rPr>
          <w:rFonts w:cs="Arial"/>
          <w:iCs/>
          <w:sz w:val="20"/>
          <w:szCs w:val="20"/>
          <w:lang w:eastAsia="en-AU" w:bidi="ar-SA"/>
        </w:rPr>
      </w:pPr>
      <w:r w:rsidRPr="00280892">
        <w:rPr>
          <w:rFonts w:cs="Arial"/>
          <w:iCs/>
          <w:sz w:val="20"/>
          <w:szCs w:val="20"/>
          <w:lang w:val="en-AU" w:eastAsia="en-AU" w:bidi="ar-SA"/>
        </w:rPr>
        <w:tab/>
        <w:t>where that food:</w:t>
      </w:r>
    </w:p>
    <w:p w14:paraId="79D0F361" w14:textId="77777777" w:rsidR="00280892" w:rsidRPr="00280892" w:rsidRDefault="00280892" w:rsidP="0001175D">
      <w:pPr>
        <w:numPr>
          <w:ilvl w:val="0"/>
          <w:numId w:val="104"/>
        </w:numPr>
        <w:spacing w:before="60" w:after="60"/>
        <w:rPr>
          <w:rFonts w:cs="Arial"/>
          <w:iCs/>
          <w:sz w:val="20"/>
          <w:lang w:eastAsia="en-AU"/>
        </w:rPr>
      </w:pPr>
      <w:r w:rsidRPr="00280892">
        <w:rPr>
          <w:rFonts w:cs="Arial"/>
          <w:iCs/>
          <w:sz w:val="20"/>
          <w:lang w:eastAsia="en-AU"/>
        </w:rPr>
        <w:t xml:space="preserve">was received unpackaged by the food business </w:t>
      </w:r>
      <w:r w:rsidRPr="00280892">
        <w:rPr>
          <w:sz w:val="20"/>
        </w:rPr>
        <w:t>or was unpackaged by the food business after receipt; and</w:t>
      </w:r>
    </w:p>
    <w:p w14:paraId="6015D828" w14:textId="77777777" w:rsidR="00280892" w:rsidRPr="00280892" w:rsidRDefault="00280892" w:rsidP="0001175D">
      <w:pPr>
        <w:numPr>
          <w:ilvl w:val="0"/>
          <w:numId w:val="104"/>
        </w:numPr>
        <w:spacing w:before="60" w:after="60"/>
        <w:rPr>
          <w:rFonts w:cs="Arial"/>
          <w:iCs/>
          <w:sz w:val="20"/>
          <w:lang w:eastAsia="en-AU"/>
        </w:rPr>
      </w:pPr>
      <w:r w:rsidRPr="00280892">
        <w:rPr>
          <w:rFonts w:cs="Arial"/>
          <w:iCs/>
          <w:sz w:val="20"/>
          <w:lang w:eastAsia="en-AU"/>
        </w:rPr>
        <w:t>was not made or processed (other than slicing, weighing, repacking, reheating or hot-holding the food) by the food business</w:t>
      </w:r>
      <w:r w:rsidRPr="00280892">
        <w:rPr>
          <w:sz w:val="20"/>
        </w:rPr>
        <w:t>.</w:t>
      </w:r>
    </w:p>
    <w:p w14:paraId="4112638D"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3.2.2A—8</w:t>
      </w:r>
      <w:r w:rsidRPr="00280892">
        <w:rPr>
          <w:b/>
          <w:bCs/>
          <w:kern w:val="32"/>
          <w:lang w:eastAsia="en-AU" w:bidi="ar-SA"/>
        </w:rPr>
        <w:tab/>
        <w:t>Food safety management tools required for category one businesses</w:t>
      </w:r>
    </w:p>
    <w:p w14:paraId="7981FD13" w14:textId="77777777" w:rsidR="00280892" w:rsidRPr="00280892" w:rsidRDefault="00280892" w:rsidP="00280892">
      <w:pPr>
        <w:tabs>
          <w:tab w:val="left" w:pos="1134"/>
        </w:tabs>
        <w:spacing w:before="120" w:after="120"/>
        <w:ind w:left="1701" w:hanging="1701"/>
        <w:rPr>
          <w:rFonts w:cs="Arial"/>
          <w:iCs/>
          <w:sz w:val="20"/>
          <w:szCs w:val="22"/>
          <w:lang w:eastAsia="en-AU" w:bidi="ar-SA"/>
        </w:rPr>
      </w:pPr>
      <w:r w:rsidRPr="00280892">
        <w:rPr>
          <w:rFonts w:cs="Arial"/>
          <w:iCs/>
          <w:sz w:val="20"/>
          <w:szCs w:val="22"/>
          <w:lang w:eastAsia="en-AU" w:bidi="ar-SA"/>
        </w:rPr>
        <w:t xml:space="preserve"> </w:t>
      </w:r>
      <w:r w:rsidRPr="00280892">
        <w:rPr>
          <w:rFonts w:cs="Arial"/>
          <w:iCs/>
          <w:sz w:val="20"/>
          <w:szCs w:val="22"/>
          <w:lang w:eastAsia="en-AU" w:bidi="ar-SA"/>
        </w:rPr>
        <w:tab/>
      </w:r>
      <w:r w:rsidRPr="00280892">
        <w:rPr>
          <w:rFonts w:cs="Arial"/>
          <w:iCs/>
          <w:sz w:val="20"/>
          <w:szCs w:val="22"/>
          <w:lang w:eastAsia="en-AU" w:bidi="ar-SA"/>
        </w:rPr>
        <w:tab/>
        <w:t>A category one business must comply with sections 3.2.2A—10, 3.2.2A—11 and 3.2.2A—12.</w:t>
      </w:r>
    </w:p>
    <w:p w14:paraId="0AD6AE7A"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3.2.2A—9</w:t>
      </w:r>
      <w:r w:rsidRPr="00280892">
        <w:rPr>
          <w:b/>
          <w:bCs/>
          <w:kern w:val="32"/>
          <w:lang w:eastAsia="en-AU" w:bidi="ar-SA"/>
        </w:rPr>
        <w:tab/>
        <w:t>Food safety management tools required for category two businesses</w:t>
      </w:r>
    </w:p>
    <w:p w14:paraId="68F03970" w14:textId="77777777" w:rsidR="00280892" w:rsidRPr="00280892" w:rsidRDefault="00280892" w:rsidP="00280892">
      <w:pPr>
        <w:tabs>
          <w:tab w:val="left" w:pos="1134"/>
        </w:tabs>
        <w:spacing w:before="120" w:after="120"/>
        <w:ind w:left="1701"/>
        <w:rPr>
          <w:rFonts w:cs="Arial"/>
          <w:iCs/>
          <w:sz w:val="20"/>
          <w:szCs w:val="22"/>
          <w:lang w:eastAsia="en-AU" w:bidi="ar-SA"/>
        </w:rPr>
      </w:pPr>
      <w:r w:rsidRPr="00280892">
        <w:rPr>
          <w:rFonts w:cs="Arial"/>
          <w:iCs/>
          <w:sz w:val="20"/>
          <w:szCs w:val="22"/>
          <w:lang w:eastAsia="en-AU" w:bidi="ar-SA"/>
        </w:rPr>
        <w:t>A category two business must comply with sections 3.2.2A—10 and 3.2.2A—11.</w:t>
      </w:r>
    </w:p>
    <w:p w14:paraId="62D86397"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3.2.2A—10</w:t>
      </w:r>
      <w:r w:rsidRPr="00280892">
        <w:rPr>
          <w:b/>
          <w:bCs/>
          <w:kern w:val="32"/>
          <w:lang w:eastAsia="en-AU" w:bidi="ar-SA"/>
        </w:rPr>
        <w:tab/>
        <w:t>Food safety training for food handlers engaged in a prescribed activity</w:t>
      </w:r>
    </w:p>
    <w:p w14:paraId="227172E5" w14:textId="77777777" w:rsidR="00280892" w:rsidRPr="00280892" w:rsidRDefault="00280892" w:rsidP="00280892">
      <w:pPr>
        <w:tabs>
          <w:tab w:val="left" w:pos="1134"/>
        </w:tabs>
        <w:spacing w:before="120" w:after="120"/>
        <w:ind w:left="1701"/>
        <w:rPr>
          <w:rFonts w:cs="Arial"/>
          <w:iCs/>
          <w:sz w:val="20"/>
          <w:szCs w:val="22"/>
          <w:lang w:eastAsia="en-AU" w:bidi="ar-SA"/>
        </w:rPr>
      </w:pPr>
      <w:r w:rsidRPr="00280892">
        <w:rPr>
          <w:rFonts w:cs="Arial"/>
          <w:iCs/>
          <w:sz w:val="20"/>
          <w:szCs w:val="22"/>
          <w:lang w:eastAsia="en-AU" w:bidi="ar-SA"/>
        </w:rPr>
        <w:t xml:space="preserve">The food business must ensure that each food handler who engages in a prescribed activity has, before engaging in that activity: </w:t>
      </w:r>
    </w:p>
    <w:p w14:paraId="75518944" w14:textId="77777777" w:rsidR="00280892" w:rsidRPr="00280892" w:rsidRDefault="00280892" w:rsidP="00280892">
      <w:pPr>
        <w:tabs>
          <w:tab w:val="left" w:pos="1701"/>
        </w:tabs>
        <w:spacing w:before="60" w:after="60"/>
        <w:ind w:left="2268" w:hanging="2268"/>
        <w:rPr>
          <w:rFonts w:cs="Arial"/>
          <w:iCs/>
          <w:sz w:val="20"/>
          <w:szCs w:val="22"/>
          <w:lang w:eastAsia="en-AU" w:bidi="ar-SA"/>
        </w:rPr>
      </w:pPr>
      <w:r w:rsidRPr="00280892">
        <w:rPr>
          <w:rFonts w:cs="Arial"/>
          <w:iCs/>
          <w:sz w:val="20"/>
          <w:szCs w:val="22"/>
          <w:lang w:eastAsia="en-AU" w:bidi="ar-SA"/>
        </w:rPr>
        <w:tab/>
        <w:t>(a)</w:t>
      </w:r>
      <w:r w:rsidRPr="00280892">
        <w:rPr>
          <w:rFonts w:cs="Arial"/>
          <w:iCs/>
          <w:sz w:val="20"/>
          <w:szCs w:val="22"/>
          <w:lang w:eastAsia="en-AU" w:bidi="ar-SA"/>
        </w:rPr>
        <w:tab/>
        <w:t>completed a food safety training course; or</w:t>
      </w:r>
    </w:p>
    <w:p w14:paraId="540BD9E2" w14:textId="77777777" w:rsidR="00280892" w:rsidRPr="00280892" w:rsidRDefault="00280892" w:rsidP="00280892">
      <w:pPr>
        <w:tabs>
          <w:tab w:val="left" w:pos="1701"/>
        </w:tabs>
        <w:spacing w:before="60" w:after="60"/>
        <w:ind w:left="2268" w:hanging="2268"/>
        <w:rPr>
          <w:rFonts w:cs="Arial"/>
          <w:iCs/>
          <w:sz w:val="20"/>
          <w:szCs w:val="22"/>
          <w:lang w:eastAsia="en-AU" w:bidi="ar-SA"/>
        </w:rPr>
      </w:pPr>
      <w:r w:rsidRPr="00280892">
        <w:rPr>
          <w:rFonts w:cs="Arial"/>
          <w:iCs/>
          <w:sz w:val="20"/>
          <w:szCs w:val="22"/>
          <w:lang w:eastAsia="en-AU" w:bidi="ar-SA"/>
        </w:rPr>
        <w:tab/>
        <w:t>(b)</w:t>
      </w:r>
      <w:r w:rsidRPr="00280892">
        <w:rPr>
          <w:rFonts w:cs="Arial"/>
          <w:iCs/>
          <w:sz w:val="20"/>
          <w:szCs w:val="22"/>
          <w:lang w:eastAsia="en-AU" w:bidi="ar-SA"/>
        </w:rPr>
        <w:tab/>
        <w:t>skills and knowledge of food safety and hygiene matters commensurate with that specific prescribed activity.</w:t>
      </w:r>
    </w:p>
    <w:p w14:paraId="65B28765"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3.2.2A—11</w:t>
      </w:r>
      <w:r w:rsidRPr="00280892">
        <w:rPr>
          <w:b/>
          <w:bCs/>
          <w:kern w:val="32"/>
          <w:lang w:eastAsia="en-AU" w:bidi="ar-SA"/>
        </w:rPr>
        <w:tab/>
        <w:t>Supervision of food handlers</w:t>
      </w:r>
    </w:p>
    <w:p w14:paraId="0D0114CC" w14:textId="77777777" w:rsidR="00280892" w:rsidRPr="00280892" w:rsidRDefault="00280892" w:rsidP="00280892">
      <w:pPr>
        <w:tabs>
          <w:tab w:val="left" w:pos="1134"/>
        </w:tabs>
        <w:spacing w:before="120" w:after="120"/>
        <w:ind w:left="1701" w:hanging="1701"/>
        <w:rPr>
          <w:rFonts w:cs="Arial"/>
          <w:iCs/>
          <w:sz w:val="20"/>
          <w:szCs w:val="22"/>
          <w:lang w:eastAsia="en-AU" w:bidi="ar-SA"/>
        </w:rPr>
      </w:pPr>
      <w:r w:rsidRPr="00280892">
        <w:rPr>
          <w:rFonts w:cs="Arial"/>
          <w:iCs/>
          <w:sz w:val="20"/>
          <w:szCs w:val="22"/>
          <w:lang w:eastAsia="en-AU" w:bidi="ar-SA"/>
        </w:rPr>
        <w:tab/>
      </w:r>
      <w:r w:rsidRPr="00280892">
        <w:rPr>
          <w:rFonts w:cs="Arial"/>
          <w:iCs/>
          <w:sz w:val="20"/>
          <w:szCs w:val="22"/>
          <w:lang w:eastAsia="en-AU" w:bidi="ar-SA"/>
        </w:rPr>
        <w:tab/>
        <w:t>The food business must:</w:t>
      </w:r>
    </w:p>
    <w:p w14:paraId="7D87872F" w14:textId="77777777" w:rsidR="00280892" w:rsidRPr="00280892" w:rsidRDefault="00280892" w:rsidP="00614AF5">
      <w:pPr>
        <w:numPr>
          <w:ilvl w:val="0"/>
          <w:numId w:val="32"/>
        </w:numPr>
        <w:tabs>
          <w:tab w:val="left" w:pos="1701"/>
        </w:tabs>
        <w:spacing w:before="60" w:after="60"/>
        <w:rPr>
          <w:rFonts w:cs="Arial"/>
          <w:iCs/>
          <w:sz w:val="20"/>
          <w:szCs w:val="22"/>
          <w:lang w:eastAsia="en-AU" w:bidi="ar-SA"/>
        </w:rPr>
      </w:pPr>
      <w:r w:rsidRPr="00280892">
        <w:rPr>
          <w:rFonts w:cs="Arial"/>
          <w:iCs/>
          <w:sz w:val="20"/>
          <w:szCs w:val="22"/>
          <w:lang w:eastAsia="en-AU" w:bidi="ar-SA"/>
        </w:rPr>
        <w:t>appoint a food safety supervisor before engaging in a prescribed activity; and</w:t>
      </w:r>
    </w:p>
    <w:p w14:paraId="535A154D" w14:textId="435DE58F" w:rsidR="00280892" w:rsidRPr="00280892" w:rsidRDefault="00280892" w:rsidP="00614AF5">
      <w:pPr>
        <w:numPr>
          <w:ilvl w:val="0"/>
          <w:numId w:val="32"/>
        </w:numPr>
        <w:tabs>
          <w:tab w:val="left" w:pos="1701"/>
        </w:tabs>
        <w:spacing w:before="60" w:after="60"/>
        <w:rPr>
          <w:rFonts w:cs="Arial"/>
          <w:sz w:val="20"/>
          <w:szCs w:val="20"/>
          <w:lang w:eastAsia="en-AU" w:bidi="ar-SA"/>
        </w:rPr>
      </w:pPr>
      <w:r w:rsidRPr="3C0957AF">
        <w:rPr>
          <w:rFonts w:cs="Arial"/>
          <w:sz w:val="20"/>
          <w:szCs w:val="20"/>
          <w:lang w:eastAsia="en-AU" w:bidi="ar-SA"/>
        </w:rPr>
        <w:t xml:space="preserve">ensure that the food safety supervisor is </w:t>
      </w:r>
      <w:bookmarkStart w:id="187" w:name="_Int_BTiX8Uca"/>
      <w:r w:rsidRPr="3C0957AF">
        <w:rPr>
          <w:rFonts w:cs="Arial"/>
          <w:sz w:val="20"/>
          <w:szCs w:val="20"/>
          <w:lang w:eastAsia="en-AU" w:bidi="ar-SA"/>
        </w:rPr>
        <w:t>reasonably available</w:t>
      </w:r>
      <w:bookmarkEnd w:id="187"/>
      <w:r w:rsidRPr="3C0957AF">
        <w:rPr>
          <w:rFonts w:cs="Arial"/>
          <w:sz w:val="20"/>
          <w:szCs w:val="20"/>
          <w:lang w:eastAsia="en-AU" w:bidi="ar-SA"/>
        </w:rPr>
        <w:t xml:space="preserve"> to advise and supervise each food handler engaged in that prescribed activity.</w:t>
      </w:r>
      <w:r w:rsidR="0081747A" w:rsidRPr="3C0957AF">
        <w:rPr>
          <w:rFonts w:cs="Arial"/>
          <w:sz w:val="20"/>
          <w:szCs w:val="20"/>
          <w:lang w:eastAsia="en-AU" w:bidi="ar-SA"/>
        </w:rPr>
        <w:t xml:space="preserve"> </w:t>
      </w:r>
    </w:p>
    <w:p w14:paraId="41F0154C" w14:textId="77777777" w:rsidR="00280892" w:rsidRPr="00280892" w:rsidRDefault="00280892" w:rsidP="00280892">
      <w:pPr>
        <w:keepNext/>
        <w:spacing w:before="240" w:after="120"/>
        <w:ind w:left="1701" w:hanging="1701"/>
        <w:outlineLvl w:val="4"/>
        <w:rPr>
          <w:b/>
          <w:bCs/>
          <w:kern w:val="32"/>
          <w:lang w:eastAsia="en-AU" w:bidi="ar-SA"/>
        </w:rPr>
      </w:pPr>
      <w:r w:rsidRPr="00280892">
        <w:rPr>
          <w:b/>
          <w:bCs/>
          <w:kern w:val="32"/>
          <w:lang w:eastAsia="en-AU" w:bidi="ar-SA"/>
        </w:rPr>
        <w:t>3.2.2A—12</w:t>
      </w:r>
      <w:r w:rsidRPr="00280892">
        <w:rPr>
          <w:b/>
          <w:bCs/>
          <w:kern w:val="32"/>
          <w:lang w:eastAsia="en-AU" w:bidi="ar-SA"/>
        </w:rPr>
        <w:tab/>
        <w:t>Substantiating food safety management of prescribed activities</w:t>
      </w:r>
    </w:p>
    <w:p w14:paraId="326DD4C9" w14:textId="4789EBDF" w:rsidR="00280892" w:rsidRPr="00280892" w:rsidRDefault="00280892" w:rsidP="00280892">
      <w:pPr>
        <w:tabs>
          <w:tab w:val="left" w:pos="1134"/>
        </w:tabs>
        <w:spacing w:before="120" w:after="120"/>
        <w:ind w:left="1701" w:hanging="1701"/>
        <w:rPr>
          <w:rFonts w:cs="Arial"/>
          <w:iCs/>
          <w:sz w:val="20"/>
          <w:szCs w:val="22"/>
          <w:lang w:eastAsia="en-AU" w:bidi="ar-SA"/>
        </w:rPr>
      </w:pPr>
      <w:r w:rsidRPr="00280892">
        <w:rPr>
          <w:rFonts w:cs="Arial"/>
          <w:iCs/>
          <w:sz w:val="20"/>
          <w:szCs w:val="22"/>
          <w:lang w:eastAsia="en-AU" w:bidi="ar-SA"/>
        </w:rPr>
        <w:tab/>
        <w:t>(1)</w:t>
      </w:r>
      <w:r w:rsidRPr="00280892">
        <w:rPr>
          <w:rFonts w:cs="Arial"/>
          <w:iCs/>
          <w:sz w:val="20"/>
          <w:szCs w:val="22"/>
          <w:lang w:eastAsia="en-AU" w:bidi="ar-SA"/>
        </w:rPr>
        <w:tab/>
        <w:t xml:space="preserve">Subject to </w:t>
      </w:r>
      <w:r w:rsidR="00E7078C">
        <w:rPr>
          <w:rFonts w:cs="Arial"/>
          <w:iCs/>
          <w:sz w:val="20"/>
          <w:szCs w:val="22"/>
          <w:lang w:eastAsia="en-AU" w:bidi="ar-SA"/>
        </w:rPr>
        <w:t>sub</w:t>
      </w:r>
      <w:r w:rsidRPr="00280892">
        <w:rPr>
          <w:rFonts w:cs="Arial"/>
          <w:iCs/>
          <w:sz w:val="20"/>
          <w:szCs w:val="22"/>
          <w:lang w:eastAsia="en-AU" w:bidi="ar-SA"/>
        </w:rPr>
        <w:t xml:space="preserve">section </w:t>
      </w:r>
      <w:r w:rsidR="00E7078C">
        <w:rPr>
          <w:rFonts w:cs="Arial"/>
          <w:iCs/>
          <w:sz w:val="20"/>
          <w:szCs w:val="22"/>
          <w:lang w:eastAsia="en-AU" w:bidi="ar-SA"/>
        </w:rPr>
        <w:t>(</w:t>
      </w:r>
      <w:r w:rsidRPr="00280892">
        <w:rPr>
          <w:rFonts w:cs="Arial"/>
          <w:iCs/>
          <w:sz w:val="20"/>
          <w:szCs w:val="22"/>
          <w:lang w:eastAsia="en-AU" w:bidi="ar-SA"/>
        </w:rPr>
        <w:t>3</w:t>
      </w:r>
      <w:r w:rsidR="00E7078C">
        <w:rPr>
          <w:rFonts w:cs="Arial"/>
          <w:iCs/>
          <w:sz w:val="20"/>
          <w:szCs w:val="22"/>
          <w:lang w:eastAsia="en-AU" w:bidi="ar-SA"/>
        </w:rPr>
        <w:t>)</w:t>
      </w:r>
      <w:r w:rsidRPr="00280892">
        <w:rPr>
          <w:rFonts w:cs="Arial"/>
          <w:iCs/>
          <w:sz w:val="20"/>
          <w:szCs w:val="22"/>
          <w:lang w:eastAsia="en-AU" w:bidi="ar-SA"/>
        </w:rPr>
        <w:t>, if the food business engages in a prescribed activity, the food business must make a record that substantiates any matter that the prescribed provisions require in relation to that prescribed activity.</w:t>
      </w:r>
    </w:p>
    <w:p w14:paraId="3A88E422" w14:textId="77777777" w:rsidR="00280892" w:rsidRPr="00280892" w:rsidRDefault="00280892" w:rsidP="00280892">
      <w:pPr>
        <w:tabs>
          <w:tab w:val="left" w:pos="1134"/>
        </w:tabs>
        <w:spacing w:before="60" w:after="60"/>
        <w:ind w:left="1701" w:hanging="1701"/>
        <w:rPr>
          <w:rFonts w:cs="Arial"/>
          <w:iCs/>
          <w:sz w:val="20"/>
          <w:szCs w:val="22"/>
          <w:lang w:eastAsia="en-AU" w:bidi="ar-SA"/>
        </w:rPr>
      </w:pPr>
      <w:r w:rsidRPr="00280892">
        <w:rPr>
          <w:rFonts w:cs="Arial"/>
          <w:iCs/>
          <w:sz w:val="20"/>
          <w:szCs w:val="22"/>
          <w:lang w:eastAsia="en-AU" w:bidi="ar-SA"/>
        </w:rPr>
        <w:tab/>
        <w:t>(2)</w:t>
      </w:r>
      <w:r w:rsidRPr="00280892">
        <w:rPr>
          <w:rFonts w:cs="Arial"/>
          <w:iCs/>
          <w:sz w:val="20"/>
          <w:szCs w:val="22"/>
          <w:lang w:eastAsia="en-AU" w:bidi="ar-SA"/>
        </w:rPr>
        <w:tab/>
        <w:t>The food business must keep a record required by subsection (1) for 3 months after the business makes the record.</w:t>
      </w:r>
    </w:p>
    <w:p w14:paraId="30A4C046" w14:textId="77777777" w:rsidR="00280892" w:rsidRPr="00280892" w:rsidRDefault="00280892" w:rsidP="00280892">
      <w:pPr>
        <w:tabs>
          <w:tab w:val="left" w:pos="1134"/>
        </w:tabs>
        <w:spacing w:before="60" w:after="60"/>
        <w:ind w:left="1701" w:hanging="1701"/>
        <w:rPr>
          <w:rFonts w:cs="Arial"/>
          <w:iCs/>
          <w:sz w:val="20"/>
          <w:szCs w:val="22"/>
          <w:lang w:eastAsia="en-AU" w:bidi="ar-SA"/>
        </w:rPr>
      </w:pPr>
      <w:r w:rsidRPr="00280892">
        <w:rPr>
          <w:rFonts w:cs="Arial"/>
          <w:iCs/>
          <w:sz w:val="20"/>
          <w:szCs w:val="22"/>
          <w:lang w:eastAsia="en-AU" w:bidi="ar-SA"/>
        </w:rPr>
        <w:tab/>
        <w:t>(3)</w:t>
      </w:r>
      <w:r w:rsidRPr="00280892">
        <w:rPr>
          <w:rFonts w:cs="Arial"/>
          <w:iCs/>
          <w:sz w:val="20"/>
          <w:szCs w:val="22"/>
          <w:lang w:eastAsia="en-AU" w:bidi="ar-SA"/>
        </w:rPr>
        <w:tab/>
        <w:t xml:space="preserve">Subsection (1) does not apply to a food business that </w:t>
      </w:r>
      <w:r w:rsidRPr="00280892">
        <w:rPr>
          <w:rFonts w:cs="Arial"/>
          <w:iCs/>
          <w:sz w:val="20"/>
          <w:szCs w:val="20"/>
          <w:lang w:eastAsia="en-AU" w:bidi="ar-SA"/>
        </w:rPr>
        <w:t xml:space="preserve">can demonstrate to the reasonable satisfaction of an *authorised officer on request that the business has complied with </w:t>
      </w:r>
      <w:r w:rsidRPr="00280892">
        <w:rPr>
          <w:rFonts w:cs="Arial"/>
          <w:iCs/>
          <w:sz w:val="20"/>
          <w:szCs w:val="22"/>
          <w:lang w:eastAsia="en-AU" w:bidi="ar-SA"/>
        </w:rPr>
        <w:t>each of the prescribed provisions.</w:t>
      </w:r>
    </w:p>
    <w:p w14:paraId="3B7101B1" w14:textId="77777777" w:rsidR="00280892" w:rsidRPr="00280892" w:rsidRDefault="00280892" w:rsidP="00280892">
      <w:pPr>
        <w:tabs>
          <w:tab w:val="left" w:pos="1134"/>
        </w:tabs>
        <w:spacing w:before="60" w:after="60"/>
        <w:ind w:left="1701" w:hanging="1701"/>
        <w:rPr>
          <w:rFonts w:cs="Arial"/>
          <w:iCs/>
          <w:sz w:val="20"/>
          <w:szCs w:val="22"/>
          <w:lang w:eastAsia="en-AU" w:bidi="ar-SA"/>
        </w:rPr>
      </w:pPr>
      <w:r w:rsidRPr="00280892">
        <w:rPr>
          <w:rFonts w:cs="Arial"/>
          <w:iCs/>
          <w:sz w:val="20"/>
          <w:szCs w:val="22"/>
          <w:lang w:eastAsia="en-AU" w:bidi="ar-SA"/>
        </w:rPr>
        <w:tab/>
        <w:t>(4)</w:t>
      </w:r>
      <w:r w:rsidRPr="00280892">
        <w:rPr>
          <w:rFonts w:cs="Arial"/>
          <w:iCs/>
          <w:sz w:val="20"/>
          <w:szCs w:val="22"/>
          <w:lang w:eastAsia="en-AU" w:bidi="ar-SA"/>
        </w:rPr>
        <w:tab/>
        <w:t xml:space="preserve">For the purposes of this section, the prescribed provisions are the following </w:t>
      </w:r>
      <w:r w:rsidRPr="00280892">
        <w:rPr>
          <w:rFonts w:cs="Arial"/>
          <w:iCs/>
          <w:sz w:val="20"/>
          <w:szCs w:val="22"/>
          <w:lang w:eastAsia="en-AU" w:bidi="ar-SA"/>
        </w:rPr>
        <w:lastRenderedPageBreak/>
        <w:t>provisions of Standard 3.2.2:</w:t>
      </w:r>
    </w:p>
    <w:p w14:paraId="795AA8FB" w14:textId="77777777" w:rsidR="00280892" w:rsidRPr="00280892" w:rsidRDefault="00280892" w:rsidP="00614AF5">
      <w:pPr>
        <w:numPr>
          <w:ilvl w:val="0"/>
          <w:numId w:val="31"/>
        </w:numPr>
        <w:tabs>
          <w:tab w:val="left" w:pos="1701"/>
        </w:tabs>
        <w:spacing w:before="60" w:after="60"/>
        <w:rPr>
          <w:rFonts w:cs="Arial"/>
          <w:iCs/>
          <w:sz w:val="20"/>
          <w:szCs w:val="22"/>
          <w:lang w:eastAsia="en-AU" w:bidi="ar-SA"/>
        </w:rPr>
      </w:pPr>
      <w:r w:rsidRPr="00280892">
        <w:rPr>
          <w:rFonts w:cs="Arial"/>
          <w:iCs/>
          <w:sz w:val="20"/>
          <w:szCs w:val="22"/>
          <w:lang w:eastAsia="en-AU" w:bidi="ar-SA"/>
        </w:rPr>
        <w:t xml:space="preserve">subclause 5(3); </w:t>
      </w:r>
    </w:p>
    <w:p w14:paraId="2611A28A" w14:textId="77777777" w:rsidR="00280892" w:rsidRPr="00280892" w:rsidRDefault="00280892" w:rsidP="00614AF5">
      <w:pPr>
        <w:numPr>
          <w:ilvl w:val="0"/>
          <w:numId w:val="31"/>
        </w:numPr>
        <w:tabs>
          <w:tab w:val="left" w:pos="1701"/>
        </w:tabs>
        <w:spacing w:before="60" w:after="60"/>
        <w:rPr>
          <w:rFonts w:cs="Arial"/>
          <w:iCs/>
          <w:sz w:val="20"/>
          <w:szCs w:val="22"/>
          <w:lang w:eastAsia="en-AU" w:bidi="ar-SA"/>
        </w:rPr>
      </w:pPr>
      <w:r w:rsidRPr="00280892">
        <w:rPr>
          <w:rFonts w:cs="Arial"/>
          <w:iCs/>
          <w:sz w:val="20"/>
          <w:szCs w:val="22"/>
          <w:lang w:eastAsia="en-AU" w:bidi="ar-SA"/>
        </w:rPr>
        <w:t>paragraph 6(2)(a);</w:t>
      </w:r>
    </w:p>
    <w:p w14:paraId="0D955DA1" w14:textId="77777777" w:rsidR="00280892" w:rsidRPr="00280892" w:rsidRDefault="00280892" w:rsidP="00614AF5">
      <w:pPr>
        <w:numPr>
          <w:ilvl w:val="0"/>
          <w:numId w:val="31"/>
        </w:numPr>
        <w:tabs>
          <w:tab w:val="left" w:pos="1701"/>
        </w:tabs>
        <w:spacing w:before="60" w:after="60"/>
        <w:rPr>
          <w:rFonts w:cs="Arial"/>
          <w:iCs/>
          <w:sz w:val="20"/>
          <w:szCs w:val="22"/>
          <w:lang w:eastAsia="en-AU" w:bidi="ar-SA"/>
        </w:rPr>
      </w:pPr>
      <w:r w:rsidRPr="00280892">
        <w:rPr>
          <w:rFonts w:cs="Arial"/>
          <w:iCs/>
          <w:sz w:val="20"/>
          <w:szCs w:val="22"/>
          <w:lang w:eastAsia="en-AU" w:bidi="ar-SA"/>
        </w:rPr>
        <w:t>paragraph 7(1)(b)(ii);</w:t>
      </w:r>
    </w:p>
    <w:p w14:paraId="3635A6A1" w14:textId="77777777" w:rsidR="00280892" w:rsidRPr="00280892" w:rsidRDefault="00280892" w:rsidP="00614AF5">
      <w:pPr>
        <w:numPr>
          <w:ilvl w:val="0"/>
          <w:numId w:val="31"/>
        </w:numPr>
        <w:tabs>
          <w:tab w:val="left" w:pos="1701"/>
        </w:tabs>
        <w:spacing w:before="60" w:after="60"/>
        <w:rPr>
          <w:rFonts w:cs="Arial"/>
          <w:iCs/>
          <w:sz w:val="20"/>
          <w:szCs w:val="22"/>
          <w:lang w:eastAsia="en-AU" w:bidi="ar-SA"/>
        </w:rPr>
      </w:pPr>
      <w:r w:rsidRPr="00280892">
        <w:rPr>
          <w:rFonts w:cs="Arial"/>
          <w:iCs/>
          <w:sz w:val="20"/>
          <w:szCs w:val="22"/>
          <w:lang w:eastAsia="en-AU" w:bidi="ar-SA"/>
        </w:rPr>
        <w:t>subclause 7(2);</w:t>
      </w:r>
    </w:p>
    <w:p w14:paraId="434650B8" w14:textId="77777777" w:rsidR="00280892" w:rsidRPr="00280892" w:rsidRDefault="00280892" w:rsidP="00614AF5">
      <w:pPr>
        <w:numPr>
          <w:ilvl w:val="0"/>
          <w:numId w:val="31"/>
        </w:numPr>
        <w:tabs>
          <w:tab w:val="left" w:pos="1701"/>
        </w:tabs>
        <w:spacing w:before="60" w:after="60"/>
        <w:rPr>
          <w:rFonts w:cs="Arial"/>
          <w:iCs/>
          <w:sz w:val="20"/>
          <w:szCs w:val="22"/>
          <w:lang w:eastAsia="en-AU" w:bidi="ar-SA"/>
        </w:rPr>
      </w:pPr>
      <w:r w:rsidRPr="00280892">
        <w:rPr>
          <w:rFonts w:cs="Arial"/>
          <w:iCs/>
          <w:sz w:val="20"/>
          <w:szCs w:val="22"/>
          <w:lang w:eastAsia="en-AU" w:bidi="ar-SA"/>
        </w:rPr>
        <w:t>subclause 7(3);</w:t>
      </w:r>
    </w:p>
    <w:p w14:paraId="7B9381B3" w14:textId="77777777" w:rsidR="00280892" w:rsidRPr="00280892" w:rsidRDefault="00280892" w:rsidP="00614AF5">
      <w:pPr>
        <w:numPr>
          <w:ilvl w:val="0"/>
          <w:numId w:val="31"/>
        </w:numPr>
        <w:tabs>
          <w:tab w:val="left" w:pos="1701"/>
        </w:tabs>
        <w:spacing w:before="60" w:after="60"/>
        <w:rPr>
          <w:rFonts w:cs="Arial"/>
          <w:iCs/>
          <w:sz w:val="20"/>
          <w:szCs w:val="22"/>
          <w:lang w:eastAsia="en-AU" w:bidi="ar-SA"/>
        </w:rPr>
      </w:pPr>
      <w:r w:rsidRPr="00280892">
        <w:rPr>
          <w:rFonts w:cs="Arial"/>
          <w:iCs/>
          <w:sz w:val="20"/>
          <w:szCs w:val="22"/>
          <w:lang w:eastAsia="en-AU" w:bidi="ar-SA"/>
        </w:rPr>
        <w:t>subclause 7(4);</w:t>
      </w:r>
    </w:p>
    <w:p w14:paraId="64E3AE94" w14:textId="77777777" w:rsidR="00280892" w:rsidRPr="00280892" w:rsidRDefault="00280892" w:rsidP="00614AF5">
      <w:pPr>
        <w:numPr>
          <w:ilvl w:val="0"/>
          <w:numId w:val="31"/>
        </w:numPr>
        <w:tabs>
          <w:tab w:val="left" w:pos="1701"/>
        </w:tabs>
        <w:spacing w:before="60" w:after="60"/>
        <w:rPr>
          <w:rFonts w:cs="Arial"/>
          <w:iCs/>
          <w:sz w:val="20"/>
          <w:szCs w:val="22"/>
          <w:lang w:eastAsia="en-AU" w:bidi="ar-SA"/>
        </w:rPr>
      </w:pPr>
      <w:r w:rsidRPr="00280892">
        <w:rPr>
          <w:rFonts w:cs="Arial"/>
          <w:iCs/>
          <w:sz w:val="20"/>
          <w:szCs w:val="22"/>
          <w:lang w:eastAsia="en-AU" w:bidi="ar-SA"/>
        </w:rPr>
        <w:t>paragraph 8(5)(a);</w:t>
      </w:r>
    </w:p>
    <w:p w14:paraId="0DAD5C07" w14:textId="77777777" w:rsidR="00280892" w:rsidRPr="00280892" w:rsidRDefault="00280892" w:rsidP="00614AF5">
      <w:pPr>
        <w:numPr>
          <w:ilvl w:val="0"/>
          <w:numId w:val="31"/>
        </w:numPr>
        <w:tabs>
          <w:tab w:val="left" w:pos="1701"/>
        </w:tabs>
        <w:spacing w:before="60" w:after="60"/>
        <w:rPr>
          <w:rFonts w:cs="Arial"/>
          <w:iCs/>
          <w:sz w:val="20"/>
          <w:szCs w:val="22"/>
          <w:lang w:eastAsia="en-AU" w:bidi="ar-SA"/>
        </w:rPr>
      </w:pPr>
      <w:r w:rsidRPr="00280892">
        <w:rPr>
          <w:rFonts w:cs="Arial"/>
          <w:iCs/>
          <w:sz w:val="20"/>
          <w:szCs w:val="22"/>
          <w:lang w:eastAsia="en-AU" w:bidi="ar-SA"/>
        </w:rPr>
        <w:t>paragraph 10(b); and</w:t>
      </w:r>
    </w:p>
    <w:p w14:paraId="4EB04079" w14:textId="77777777" w:rsidR="00280892" w:rsidRPr="00280892" w:rsidRDefault="00280892" w:rsidP="00614AF5">
      <w:pPr>
        <w:numPr>
          <w:ilvl w:val="0"/>
          <w:numId w:val="31"/>
        </w:numPr>
        <w:tabs>
          <w:tab w:val="left" w:pos="1701"/>
        </w:tabs>
        <w:spacing w:before="60" w:after="60"/>
        <w:rPr>
          <w:rFonts w:cs="Arial"/>
          <w:iCs/>
          <w:sz w:val="20"/>
          <w:szCs w:val="22"/>
          <w:lang w:eastAsia="en-AU" w:bidi="ar-SA"/>
        </w:rPr>
      </w:pPr>
      <w:r w:rsidRPr="00280892">
        <w:rPr>
          <w:rFonts w:cs="Arial"/>
          <w:iCs/>
          <w:sz w:val="20"/>
          <w:szCs w:val="22"/>
          <w:lang w:eastAsia="en-AU" w:bidi="ar-SA"/>
        </w:rPr>
        <w:t>clause 20.</w:t>
      </w:r>
    </w:p>
    <w:p w14:paraId="48605942" w14:textId="77777777" w:rsidR="00456BD5" w:rsidRPr="00795D86" w:rsidRDefault="00456BD5" w:rsidP="00456BD5">
      <w:pPr>
        <w:rPr>
          <w:lang w:bidi="ar-SA"/>
        </w:rPr>
      </w:pPr>
    </w:p>
    <w:p w14:paraId="717089A5" w14:textId="77777777" w:rsidR="00280892" w:rsidRDefault="00280892">
      <w:pPr>
        <w:widowControl/>
        <w:rPr>
          <w:rFonts w:cs="Arial"/>
          <w:b/>
          <w:bCs/>
          <w:sz w:val="28"/>
          <w:szCs w:val="22"/>
          <w:lang w:bidi="ar-SA"/>
        </w:rPr>
      </w:pPr>
      <w:r>
        <w:br w:type="page"/>
      </w:r>
    </w:p>
    <w:p w14:paraId="36B98F34" w14:textId="77777777" w:rsidR="00280892" w:rsidRDefault="00280892" w:rsidP="00280892">
      <w:pPr>
        <w:rPr>
          <w:noProof/>
          <w:sz w:val="20"/>
          <w:lang w:val="en-AU" w:eastAsia="en-AU"/>
        </w:rPr>
      </w:pPr>
    </w:p>
    <w:p w14:paraId="07B79CE7" w14:textId="77777777" w:rsidR="00280892" w:rsidRPr="00C0014E" w:rsidRDefault="00280892" w:rsidP="00280892">
      <w:pPr>
        <w:rPr>
          <w:noProof/>
          <w:sz w:val="20"/>
          <w:lang w:val="en-AU" w:eastAsia="en-AU"/>
        </w:rPr>
      </w:pPr>
      <w:r w:rsidRPr="00C0014E">
        <w:rPr>
          <w:noProof/>
          <w:sz w:val="20"/>
          <w:lang w:eastAsia="en-GB" w:bidi="ar-SA"/>
        </w:rPr>
        <w:drawing>
          <wp:inline distT="0" distB="0" distL="0" distR="0" wp14:anchorId="3E6B6836" wp14:editId="3989ACDE">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A0B09AF" w14:textId="77777777" w:rsidR="00280892" w:rsidRPr="008F1620" w:rsidRDefault="00280892" w:rsidP="00280892">
      <w:pPr>
        <w:rPr>
          <w:sz w:val="20"/>
        </w:rPr>
      </w:pPr>
    </w:p>
    <w:p w14:paraId="047F4828" w14:textId="77777777" w:rsidR="00280892" w:rsidRPr="002A7834" w:rsidRDefault="00280892" w:rsidP="00280892">
      <w:pPr>
        <w:pBdr>
          <w:bottom w:val="single" w:sz="4" w:space="1" w:color="auto"/>
        </w:pBdr>
        <w:rPr>
          <w:b/>
          <w:sz w:val="20"/>
        </w:rPr>
      </w:pPr>
      <w:r w:rsidRPr="002A7834">
        <w:rPr>
          <w:b/>
          <w:sz w:val="20"/>
        </w:rPr>
        <w:t xml:space="preserve">Food Standards </w:t>
      </w:r>
      <w:r>
        <w:rPr>
          <w:b/>
          <w:sz w:val="20"/>
        </w:rPr>
        <w:t>(</w:t>
      </w:r>
      <w:r w:rsidRPr="002A7834">
        <w:rPr>
          <w:b/>
          <w:sz w:val="20"/>
        </w:rPr>
        <w:t xml:space="preserve">Proposal </w:t>
      </w:r>
      <w:r>
        <w:rPr>
          <w:b/>
          <w:sz w:val="20"/>
        </w:rPr>
        <w:t>P1053</w:t>
      </w:r>
      <w:r w:rsidRPr="002A7834">
        <w:rPr>
          <w:b/>
          <w:sz w:val="20"/>
        </w:rPr>
        <w:t xml:space="preserve"> – </w:t>
      </w:r>
      <w:r>
        <w:rPr>
          <w:b/>
          <w:sz w:val="20"/>
        </w:rPr>
        <w:t>Food Safety Management Tools – Consequential</w:t>
      </w:r>
      <w:r w:rsidRPr="00ED60A7">
        <w:rPr>
          <w:b/>
          <w:sz w:val="20"/>
        </w:rPr>
        <w:t xml:space="preserve"> Amendments</w:t>
      </w:r>
      <w:r w:rsidRPr="002A7834">
        <w:rPr>
          <w:b/>
          <w:sz w:val="20"/>
        </w:rPr>
        <w:t>) Variation</w:t>
      </w:r>
    </w:p>
    <w:p w14:paraId="21FFE83F" w14:textId="77777777" w:rsidR="00280892" w:rsidRPr="00C0014E" w:rsidRDefault="00280892" w:rsidP="00280892">
      <w:pPr>
        <w:pBdr>
          <w:bottom w:val="single" w:sz="4" w:space="1" w:color="auto"/>
        </w:pBdr>
        <w:rPr>
          <w:b/>
          <w:sz w:val="20"/>
        </w:rPr>
      </w:pPr>
    </w:p>
    <w:p w14:paraId="717D77D3" w14:textId="77777777" w:rsidR="00280892" w:rsidRPr="008F2616" w:rsidRDefault="00280892" w:rsidP="00280892">
      <w:pPr>
        <w:rPr>
          <w:sz w:val="20"/>
        </w:rPr>
      </w:pPr>
    </w:p>
    <w:p w14:paraId="756AC9AB" w14:textId="77777777" w:rsidR="00280892" w:rsidRPr="0053287E" w:rsidRDefault="00280892" w:rsidP="00280892">
      <w:pPr>
        <w:rPr>
          <w:sz w:val="20"/>
        </w:rPr>
      </w:pPr>
      <w:r w:rsidRPr="0053287E">
        <w:rPr>
          <w:sz w:val="20"/>
        </w:rPr>
        <w:t xml:space="preserve">The Board of Food Standards Australia New Zealand gives notice of the making of this </w:t>
      </w:r>
      <w:r>
        <w:rPr>
          <w:sz w:val="20"/>
        </w:rPr>
        <w:t>variation</w:t>
      </w:r>
      <w:r w:rsidRPr="0053287E">
        <w:rPr>
          <w:sz w:val="20"/>
        </w:rPr>
        <w:t xml:space="preserve"> under section 92 of the </w:t>
      </w:r>
      <w:r w:rsidRPr="0053287E">
        <w:rPr>
          <w:i/>
          <w:sz w:val="20"/>
        </w:rPr>
        <w:t>Food Standards Australia New Zealand Act 1991</w:t>
      </w:r>
      <w:r w:rsidRPr="0053287E">
        <w:rPr>
          <w:sz w:val="20"/>
        </w:rPr>
        <w:t xml:space="preserve">. </w:t>
      </w:r>
      <w:r w:rsidRPr="00ED60A7">
        <w:rPr>
          <w:sz w:val="20"/>
        </w:rPr>
        <w:t xml:space="preserve">The </w:t>
      </w:r>
      <w:r>
        <w:rPr>
          <w:sz w:val="20"/>
        </w:rPr>
        <w:t>variation</w:t>
      </w:r>
      <w:r w:rsidRPr="00ED60A7">
        <w:rPr>
          <w:sz w:val="20"/>
        </w:rPr>
        <w:t xml:space="preserve"> commences on the date specified in clause 3 of this variation</w:t>
      </w:r>
      <w:r w:rsidRPr="00E76359">
        <w:rPr>
          <w:sz w:val="20"/>
        </w:rPr>
        <w:t>.</w:t>
      </w:r>
    </w:p>
    <w:p w14:paraId="1CC7943E" w14:textId="77777777" w:rsidR="00280892" w:rsidRPr="008F2616" w:rsidRDefault="00280892" w:rsidP="00280892">
      <w:pPr>
        <w:rPr>
          <w:sz w:val="20"/>
        </w:rPr>
      </w:pPr>
    </w:p>
    <w:p w14:paraId="2F8ED063" w14:textId="77777777" w:rsidR="00280892" w:rsidRDefault="00280892" w:rsidP="00280892">
      <w:pPr>
        <w:rPr>
          <w:sz w:val="20"/>
        </w:rPr>
      </w:pPr>
      <w:r>
        <w:rPr>
          <w:sz w:val="20"/>
        </w:rPr>
        <w:t>Dated [To be completed by the Delegate]</w:t>
      </w:r>
    </w:p>
    <w:p w14:paraId="14DD32D8" w14:textId="77777777" w:rsidR="00280892" w:rsidRDefault="00280892" w:rsidP="00280892">
      <w:pPr>
        <w:rPr>
          <w:sz w:val="20"/>
        </w:rPr>
      </w:pPr>
    </w:p>
    <w:p w14:paraId="04F449E3" w14:textId="77777777" w:rsidR="00280892" w:rsidRDefault="00280892" w:rsidP="00280892">
      <w:pPr>
        <w:rPr>
          <w:sz w:val="20"/>
        </w:rPr>
      </w:pPr>
    </w:p>
    <w:p w14:paraId="2AC32C88" w14:textId="77777777" w:rsidR="00280892" w:rsidRDefault="00280892" w:rsidP="00280892">
      <w:pPr>
        <w:rPr>
          <w:sz w:val="20"/>
        </w:rPr>
      </w:pPr>
      <w:r>
        <w:rPr>
          <w:sz w:val="20"/>
        </w:rPr>
        <w:t>[Name of Delegate]</w:t>
      </w:r>
    </w:p>
    <w:p w14:paraId="1C90378C" w14:textId="77777777" w:rsidR="00280892" w:rsidRDefault="00280892" w:rsidP="00280892">
      <w:pPr>
        <w:rPr>
          <w:sz w:val="20"/>
        </w:rPr>
      </w:pPr>
      <w:r>
        <w:rPr>
          <w:sz w:val="20"/>
        </w:rPr>
        <w:t>Delegate of the Board of Food Standards Australia New Zealand</w:t>
      </w:r>
    </w:p>
    <w:p w14:paraId="63AFBD0A" w14:textId="77777777" w:rsidR="00280892" w:rsidRDefault="00280892" w:rsidP="00280892">
      <w:pPr>
        <w:rPr>
          <w:sz w:val="20"/>
        </w:rPr>
      </w:pPr>
    </w:p>
    <w:p w14:paraId="67F417E6" w14:textId="77777777" w:rsidR="00280892" w:rsidRDefault="00280892" w:rsidP="00280892">
      <w:pPr>
        <w:rPr>
          <w:sz w:val="20"/>
        </w:rPr>
      </w:pPr>
    </w:p>
    <w:p w14:paraId="1A45C8A5" w14:textId="77777777" w:rsidR="00280892" w:rsidRDefault="00280892" w:rsidP="00280892">
      <w:pPr>
        <w:rPr>
          <w:sz w:val="20"/>
        </w:rPr>
      </w:pPr>
    </w:p>
    <w:p w14:paraId="022F1F9D" w14:textId="77777777" w:rsidR="00280892" w:rsidRDefault="00280892" w:rsidP="00280892">
      <w:pPr>
        <w:rPr>
          <w:sz w:val="20"/>
        </w:rPr>
      </w:pPr>
    </w:p>
    <w:p w14:paraId="64DC69F4" w14:textId="77777777" w:rsidR="00280892" w:rsidRDefault="00280892" w:rsidP="00280892">
      <w:pPr>
        <w:rPr>
          <w:sz w:val="20"/>
        </w:rPr>
      </w:pPr>
    </w:p>
    <w:p w14:paraId="76D99E04" w14:textId="77777777" w:rsidR="00280892" w:rsidRDefault="00280892" w:rsidP="00280892">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158FF146" w14:textId="77777777" w:rsidR="00280892" w:rsidRDefault="00280892" w:rsidP="00280892">
      <w:pPr>
        <w:pBdr>
          <w:top w:val="single" w:sz="4" w:space="1" w:color="auto"/>
          <w:left w:val="single" w:sz="4" w:space="4" w:color="auto"/>
          <w:bottom w:val="single" w:sz="4" w:space="1" w:color="auto"/>
          <w:right w:val="single" w:sz="4" w:space="4" w:color="auto"/>
        </w:pBdr>
        <w:rPr>
          <w:sz w:val="20"/>
          <w:lang w:val="en-AU"/>
        </w:rPr>
      </w:pPr>
    </w:p>
    <w:p w14:paraId="4E27BA9C" w14:textId="77777777" w:rsidR="00280892" w:rsidRDefault="00280892" w:rsidP="00280892">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Standard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the above notice. </w:t>
      </w:r>
    </w:p>
    <w:p w14:paraId="652EC4A4" w14:textId="77777777" w:rsidR="00280892" w:rsidRDefault="00280892" w:rsidP="00280892">
      <w:pPr>
        <w:rPr>
          <w:sz w:val="20"/>
        </w:rPr>
      </w:pPr>
    </w:p>
    <w:p w14:paraId="5CE0A642" w14:textId="77777777" w:rsidR="00280892" w:rsidRDefault="00280892">
      <w:pPr>
        <w:widowControl/>
        <w:rPr>
          <w:sz w:val="20"/>
        </w:rPr>
      </w:pPr>
      <w:r>
        <w:rPr>
          <w:sz w:val="20"/>
        </w:rPr>
        <w:br w:type="page"/>
      </w:r>
    </w:p>
    <w:p w14:paraId="79A7B663" w14:textId="77777777" w:rsidR="00280892" w:rsidRPr="00E61391" w:rsidRDefault="00280892" w:rsidP="00280892">
      <w:pPr>
        <w:rPr>
          <w:b/>
          <w:sz w:val="20"/>
        </w:rPr>
      </w:pPr>
      <w:r w:rsidRPr="00E61391">
        <w:rPr>
          <w:b/>
          <w:sz w:val="20"/>
        </w:rPr>
        <w:lastRenderedPageBreak/>
        <w:t>1</w:t>
      </w:r>
      <w:r w:rsidRPr="00E61391">
        <w:rPr>
          <w:b/>
          <w:sz w:val="20"/>
        </w:rPr>
        <w:tab/>
        <w:t>Name</w:t>
      </w:r>
    </w:p>
    <w:p w14:paraId="320CFBF6" w14:textId="77777777" w:rsidR="00280892" w:rsidRPr="00E61391" w:rsidRDefault="00280892" w:rsidP="00280892">
      <w:pPr>
        <w:rPr>
          <w:sz w:val="20"/>
        </w:rPr>
      </w:pPr>
    </w:p>
    <w:p w14:paraId="372AD9EB" w14:textId="77777777" w:rsidR="00280892" w:rsidRPr="00E61391" w:rsidRDefault="00280892" w:rsidP="00280892">
      <w:pPr>
        <w:rPr>
          <w:sz w:val="20"/>
        </w:rPr>
      </w:pPr>
      <w:r w:rsidRPr="00E61391">
        <w:rPr>
          <w:sz w:val="20"/>
        </w:rPr>
        <w:t xml:space="preserve">This instrument is the </w:t>
      </w:r>
      <w:r w:rsidRPr="00E61391">
        <w:rPr>
          <w:i/>
          <w:sz w:val="20"/>
        </w:rPr>
        <w:t>Food Standards (Proposal P1053 – Food Safety Management Tools – Consequential Amendments) Variation</w:t>
      </w:r>
      <w:r w:rsidRPr="00E61391">
        <w:rPr>
          <w:sz w:val="20"/>
        </w:rPr>
        <w:t>.</w:t>
      </w:r>
    </w:p>
    <w:p w14:paraId="01F6E624" w14:textId="77777777" w:rsidR="00280892" w:rsidRPr="00E61391" w:rsidRDefault="00280892" w:rsidP="00280892">
      <w:pPr>
        <w:rPr>
          <w:sz w:val="20"/>
        </w:rPr>
      </w:pPr>
    </w:p>
    <w:p w14:paraId="77E7976A" w14:textId="77777777" w:rsidR="00280892" w:rsidRPr="00E61391" w:rsidRDefault="00280892" w:rsidP="00280892">
      <w:pPr>
        <w:rPr>
          <w:b/>
          <w:sz w:val="20"/>
        </w:rPr>
      </w:pPr>
      <w:r w:rsidRPr="00E61391">
        <w:rPr>
          <w:b/>
          <w:sz w:val="20"/>
        </w:rPr>
        <w:t>2</w:t>
      </w:r>
      <w:r w:rsidRPr="00E61391">
        <w:rPr>
          <w:b/>
          <w:sz w:val="20"/>
        </w:rPr>
        <w:tab/>
        <w:t xml:space="preserve">Variation to Standards in the </w:t>
      </w:r>
      <w:r w:rsidRPr="00E61391">
        <w:rPr>
          <w:b/>
          <w:i/>
          <w:sz w:val="20"/>
        </w:rPr>
        <w:t>Australia New Zealand Food Standards Code</w:t>
      </w:r>
    </w:p>
    <w:p w14:paraId="0AA8C163" w14:textId="77777777" w:rsidR="00280892" w:rsidRPr="00E61391" w:rsidRDefault="00280892" w:rsidP="00280892">
      <w:pPr>
        <w:rPr>
          <w:sz w:val="20"/>
        </w:rPr>
      </w:pPr>
    </w:p>
    <w:p w14:paraId="070FB189" w14:textId="77777777" w:rsidR="00280892" w:rsidRPr="00E61391" w:rsidRDefault="00280892" w:rsidP="00280892">
      <w:pPr>
        <w:rPr>
          <w:sz w:val="20"/>
        </w:rPr>
      </w:pPr>
      <w:r w:rsidRPr="00E61391">
        <w:rPr>
          <w:sz w:val="20"/>
        </w:rPr>
        <w:t xml:space="preserve">The Schedule varies </w:t>
      </w:r>
      <w:r>
        <w:rPr>
          <w:sz w:val="20"/>
        </w:rPr>
        <w:t>a Standard</w:t>
      </w:r>
      <w:r w:rsidRPr="00E61391">
        <w:rPr>
          <w:sz w:val="20"/>
        </w:rPr>
        <w:t xml:space="preserve"> in the </w:t>
      </w:r>
      <w:r w:rsidRPr="00E61391">
        <w:rPr>
          <w:i/>
          <w:sz w:val="20"/>
        </w:rPr>
        <w:t>Australia New Zealand Food Standards Code</w:t>
      </w:r>
      <w:r w:rsidRPr="00E61391">
        <w:rPr>
          <w:sz w:val="20"/>
        </w:rPr>
        <w:t>.</w:t>
      </w:r>
    </w:p>
    <w:p w14:paraId="001A7B96" w14:textId="77777777" w:rsidR="00280892" w:rsidRPr="00E61391" w:rsidRDefault="00280892" w:rsidP="00280892">
      <w:pPr>
        <w:rPr>
          <w:sz w:val="20"/>
        </w:rPr>
      </w:pPr>
    </w:p>
    <w:p w14:paraId="1303E06B" w14:textId="77777777" w:rsidR="00280892" w:rsidRPr="00E61391" w:rsidRDefault="00280892" w:rsidP="00280892">
      <w:pPr>
        <w:rPr>
          <w:b/>
          <w:sz w:val="20"/>
        </w:rPr>
      </w:pPr>
      <w:r w:rsidRPr="00E61391">
        <w:rPr>
          <w:b/>
          <w:sz w:val="20"/>
        </w:rPr>
        <w:t>3</w:t>
      </w:r>
      <w:r w:rsidRPr="00E61391">
        <w:rPr>
          <w:b/>
          <w:sz w:val="20"/>
        </w:rPr>
        <w:tab/>
        <w:t>Commencement</w:t>
      </w:r>
    </w:p>
    <w:p w14:paraId="16C521D2" w14:textId="77777777" w:rsidR="00280892" w:rsidRPr="00E61391" w:rsidRDefault="00280892" w:rsidP="00280892">
      <w:pPr>
        <w:rPr>
          <w:sz w:val="20"/>
        </w:rPr>
      </w:pPr>
    </w:p>
    <w:p w14:paraId="23AF38EF" w14:textId="77777777" w:rsidR="00280892" w:rsidRPr="00E61391" w:rsidRDefault="00280892" w:rsidP="00280892">
      <w:pPr>
        <w:rPr>
          <w:sz w:val="20"/>
        </w:rPr>
      </w:pPr>
      <w:r>
        <w:rPr>
          <w:sz w:val="20"/>
        </w:rPr>
        <w:t>The variation</w:t>
      </w:r>
      <w:r w:rsidRPr="00E61391">
        <w:rPr>
          <w:sz w:val="20"/>
        </w:rPr>
        <w:t xml:space="preserve"> commence</w:t>
      </w:r>
      <w:r>
        <w:rPr>
          <w:sz w:val="20"/>
        </w:rPr>
        <w:t>s</w:t>
      </w:r>
      <w:r w:rsidRPr="00E61391">
        <w:rPr>
          <w:sz w:val="20"/>
        </w:rPr>
        <w:t xml:space="preserve"> immediately after the commencement of Standard 3.2.2.A.</w:t>
      </w:r>
    </w:p>
    <w:p w14:paraId="1427E4FA" w14:textId="77777777" w:rsidR="00280892" w:rsidRPr="00E61391" w:rsidRDefault="00280892" w:rsidP="00280892">
      <w:pPr>
        <w:rPr>
          <w:b/>
          <w:sz w:val="20"/>
        </w:rPr>
      </w:pPr>
    </w:p>
    <w:p w14:paraId="598800B1" w14:textId="77777777" w:rsidR="00280892" w:rsidRPr="00E61391" w:rsidRDefault="00280892" w:rsidP="00280892">
      <w:pPr>
        <w:jc w:val="center"/>
        <w:rPr>
          <w:b/>
          <w:caps/>
          <w:sz w:val="20"/>
        </w:rPr>
      </w:pPr>
      <w:r w:rsidRPr="00E61391">
        <w:rPr>
          <w:b/>
          <w:caps/>
          <w:sz w:val="20"/>
        </w:rPr>
        <w:t>SCHEDULE</w:t>
      </w:r>
    </w:p>
    <w:p w14:paraId="518F7724" w14:textId="77777777" w:rsidR="00280892" w:rsidRPr="00E61391" w:rsidRDefault="00280892" w:rsidP="00280892">
      <w:pPr>
        <w:pStyle w:val="FSCh2Amendmentheading"/>
        <w:spacing w:before="240"/>
        <w:rPr>
          <w:i w:val="0"/>
          <w:sz w:val="20"/>
          <w:szCs w:val="20"/>
          <w:lang w:val="en-GB"/>
        </w:rPr>
      </w:pPr>
      <w:bookmarkStart w:id="188" w:name="_Toc419117459"/>
      <w:bookmarkStart w:id="189" w:name="_Toc94172685"/>
      <w:r w:rsidRPr="00E61391">
        <w:rPr>
          <w:i w:val="0"/>
          <w:sz w:val="20"/>
          <w:szCs w:val="20"/>
          <w:lang w:val="en-GB"/>
        </w:rPr>
        <w:t>Standard 1.1.1—Structure of the Code and general provisions</w:t>
      </w:r>
      <w:bookmarkEnd w:id="188"/>
      <w:bookmarkEnd w:id="189"/>
    </w:p>
    <w:p w14:paraId="07DA8F0D" w14:textId="77777777" w:rsidR="00280892" w:rsidRPr="00E61391" w:rsidRDefault="00280892" w:rsidP="00280892">
      <w:pPr>
        <w:pStyle w:val="FSCh5SchItem"/>
        <w:spacing w:before="240"/>
        <w:rPr>
          <w:sz w:val="20"/>
          <w:szCs w:val="20"/>
          <w:lang w:val="en-GB"/>
        </w:rPr>
      </w:pPr>
      <w:r w:rsidRPr="00E61391">
        <w:rPr>
          <w:sz w:val="20"/>
          <w:szCs w:val="20"/>
          <w:lang w:val="en-GB"/>
        </w:rPr>
        <w:t>[</w:t>
      </w:r>
      <w:r w:rsidRPr="00E61391">
        <w:rPr>
          <w:sz w:val="20"/>
          <w:szCs w:val="20"/>
          <w:lang w:val="en-GB"/>
        </w:rPr>
        <w:fldChar w:fldCharType="begin"/>
      </w:r>
      <w:r w:rsidRPr="00E61391">
        <w:rPr>
          <w:sz w:val="20"/>
          <w:szCs w:val="20"/>
          <w:lang w:val="en-GB"/>
        </w:rPr>
        <w:instrText xml:space="preserve"> SEQ Items \* MERGEFORMAT </w:instrText>
      </w:r>
      <w:r w:rsidRPr="00E61391">
        <w:rPr>
          <w:sz w:val="20"/>
          <w:szCs w:val="20"/>
          <w:lang w:val="en-GB"/>
        </w:rPr>
        <w:fldChar w:fldCharType="separate"/>
      </w:r>
      <w:r>
        <w:rPr>
          <w:noProof/>
          <w:sz w:val="20"/>
          <w:szCs w:val="20"/>
          <w:lang w:val="en-GB"/>
        </w:rPr>
        <w:t>1</w:t>
      </w:r>
      <w:r w:rsidRPr="00E61391">
        <w:rPr>
          <w:noProof/>
          <w:sz w:val="20"/>
          <w:szCs w:val="20"/>
          <w:lang w:val="en-GB"/>
        </w:rPr>
        <w:fldChar w:fldCharType="end"/>
      </w:r>
      <w:r w:rsidRPr="00E61391">
        <w:rPr>
          <w:sz w:val="20"/>
          <w:szCs w:val="20"/>
          <w:lang w:val="en-GB"/>
        </w:rPr>
        <w:t>]</w:t>
      </w:r>
      <w:r w:rsidRPr="00E61391">
        <w:rPr>
          <w:sz w:val="20"/>
          <w:szCs w:val="20"/>
          <w:lang w:val="en-GB"/>
        </w:rPr>
        <w:tab/>
        <w:t>Subsection 1.1.1—2(2)</w:t>
      </w:r>
    </w:p>
    <w:p w14:paraId="66AE9992" w14:textId="77777777" w:rsidR="00280892" w:rsidRPr="00E61391" w:rsidRDefault="00280892" w:rsidP="00280892">
      <w:pPr>
        <w:pStyle w:val="FSCtAmendingwords"/>
        <w:tabs>
          <w:tab w:val="left" w:pos="567"/>
        </w:tabs>
        <w:ind w:hanging="1134"/>
        <w:rPr>
          <w:sz w:val="20"/>
          <w:szCs w:val="20"/>
          <w:lang w:val="en-GB"/>
        </w:rPr>
      </w:pPr>
      <w:r>
        <w:rPr>
          <w:sz w:val="20"/>
          <w:szCs w:val="20"/>
          <w:lang w:val="en-GB"/>
        </w:rPr>
        <w:tab/>
      </w:r>
      <w:r>
        <w:rPr>
          <w:sz w:val="20"/>
          <w:szCs w:val="20"/>
          <w:lang w:val="en-GB"/>
        </w:rPr>
        <w:tab/>
      </w:r>
      <w:r w:rsidRPr="00E61391">
        <w:rPr>
          <w:sz w:val="20"/>
          <w:szCs w:val="20"/>
          <w:lang w:val="en-GB"/>
        </w:rPr>
        <w:t>Omit:</w:t>
      </w:r>
    </w:p>
    <w:p w14:paraId="53466A8D" w14:textId="77777777" w:rsidR="00280892" w:rsidRPr="00E61391" w:rsidRDefault="00280892" w:rsidP="00280892">
      <w:pPr>
        <w:pStyle w:val="FSCoutStand"/>
        <w:rPr>
          <w:szCs w:val="20"/>
        </w:rPr>
      </w:pPr>
      <w:r w:rsidRPr="00E61391">
        <w:rPr>
          <w:szCs w:val="20"/>
        </w:rPr>
        <w:tab/>
        <w:t>Standard 3.2.2</w:t>
      </w:r>
      <w:r w:rsidRPr="00E61391">
        <w:rPr>
          <w:szCs w:val="20"/>
        </w:rPr>
        <w:tab/>
        <w:t>Food Safety Practices and General Requirements</w:t>
      </w:r>
    </w:p>
    <w:p w14:paraId="4F728E5F" w14:textId="77777777" w:rsidR="00280892" w:rsidRPr="00E61391" w:rsidRDefault="00280892" w:rsidP="00280892">
      <w:pPr>
        <w:pStyle w:val="FSCtAmendingwords"/>
        <w:rPr>
          <w:sz w:val="20"/>
          <w:szCs w:val="20"/>
          <w:lang w:val="en-GB"/>
        </w:rPr>
      </w:pPr>
      <w:r w:rsidRPr="00E61391">
        <w:rPr>
          <w:sz w:val="20"/>
          <w:szCs w:val="20"/>
          <w:lang w:val="en-GB"/>
        </w:rPr>
        <w:t>Substitute:</w:t>
      </w:r>
    </w:p>
    <w:p w14:paraId="78CCA29B" w14:textId="77777777" w:rsidR="00280892" w:rsidRPr="00E61391" w:rsidRDefault="00280892" w:rsidP="00280892">
      <w:pPr>
        <w:pStyle w:val="FSCoutStand"/>
        <w:rPr>
          <w:szCs w:val="20"/>
          <w:lang w:eastAsia="en-GB"/>
        </w:rPr>
      </w:pPr>
      <w:r w:rsidRPr="00E61391">
        <w:rPr>
          <w:rFonts w:cs="Times New Roman"/>
          <w:szCs w:val="20"/>
        </w:rPr>
        <w:tab/>
      </w:r>
      <w:r w:rsidRPr="00E61391">
        <w:rPr>
          <w:szCs w:val="20"/>
        </w:rPr>
        <w:t>Standard 3.2.2</w:t>
      </w:r>
      <w:r w:rsidRPr="00E61391">
        <w:rPr>
          <w:szCs w:val="20"/>
        </w:rPr>
        <w:tab/>
        <w:t>Food Safety Practices and General Requirements</w:t>
      </w:r>
    </w:p>
    <w:p w14:paraId="5D871B2E" w14:textId="77777777" w:rsidR="00280892" w:rsidRPr="00E61391" w:rsidRDefault="00280892" w:rsidP="00280892">
      <w:pPr>
        <w:pStyle w:val="FSCoutStand"/>
        <w:rPr>
          <w:szCs w:val="20"/>
          <w:lang w:eastAsia="en-GB"/>
        </w:rPr>
      </w:pPr>
      <w:r w:rsidRPr="00E61391">
        <w:rPr>
          <w:rFonts w:cs="Times New Roman"/>
          <w:szCs w:val="20"/>
        </w:rPr>
        <w:tab/>
      </w:r>
      <w:r w:rsidRPr="00E61391">
        <w:rPr>
          <w:szCs w:val="20"/>
        </w:rPr>
        <w:t>Standard 3.2.2.A</w:t>
      </w:r>
      <w:r w:rsidRPr="00E61391">
        <w:rPr>
          <w:szCs w:val="20"/>
        </w:rPr>
        <w:tab/>
        <w:t>Food Safety Management Tools</w:t>
      </w:r>
    </w:p>
    <w:p w14:paraId="232A8BC1" w14:textId="77777777" w:rsidR="00280892" w:rsidRDefault="00280892" w:rsidP="00280892">
      <w:pPr>
        <w:widowControl/>
        <w:rPr>
          <w:lang w:bidi="ar-SA"/>
        </w:rPr>
      </w:pPr>
      <w:r>
        <w:rPr>
          <w:lang w:bidi="ar-SA"/>
        </w:rPr>
        <w:br w:type="page"/>
      </w:r>
    </w:p>
    <w:p w14:paraId="7870637D" w14:textId="3E0FC6C1" w:rsidR="006178BC" w:rsidRPr="00CF136E" w:rsidRDefault="005E06C0" w:rsidP="00CF136E">
      <w:pPr>
        <w:pStyle w:val="Heading1"/>
        <w:numPr>
          <w:ilvl w:val="0"/>
          <w:numId w:val="0"/>
        </w:numPr>
        <w:ind w:left="432" w:hanging="432"/>
        <w:rPr>
          <w:rFonts w:cs="Arial"/>
          <w:sz w:val="28"/>
          <w:szCs w:val="22"/>
        </w:rPr>
      </w:pPr>
      <w:bookmarkStart w:id="190" w:name="_Toc109300435"/>
      <w:r w:rsidRPr="00CF136E">
        <w:rPr>
          <w:rFonts w:cs="Arial"/>
          <w:sz w:val="28"/>
          <w:szCs w:val="22"/>
        </w:rPr>
        <w:lastRenderedPageBreak/>
        <w:t xml:space="preserve">Attachment B – </w:t>
      </w:r>
      <w:r w:rsidR="00456BD5" w:rsidRPr="00CF136E">
        <w:rPr>
          <w:rFonts w:cs="Arial"/>
          <w:sz w:val="28"/>
          <w:szCs w:val="22"/>
        </w:rPr>
        <w:t>Explanatory Statement</w:t>
      </w:r>
      <w:r w:rsidR="006178BC" w:rsidRPr="00CF136E">
        <w:rPr>
          <w:rFonts w:cs="Arial"/>
          <w:sz w:val="28"/>
          <w:szCs w:val="22"/>
        </w:rPr>
        <w:t>s</w:t>
      </w:r>
      <w:bookmarkEnd w:id="190"/>
    </w:p>
    <w:p w14:paraId="7286CD20" w14:textId="7E28AADB" w:rsidR="006178BC" w:rsidRPr="006178BC" w:rsidRDefault="006178BC" w:rsidP="004F36C6">
      <w:pPr>
        <w:pStyle w:val="FSCh4Div"/>
      </w:pPr>
      <w:r>
        <w:t>Standard 3.2.2A – Food Safety Management Tools</w:t>
      </w:r>
    </w:p>
    <w:p w14:paraId="18771053" w14:textId="73852009" w:rsidR="00456BD5" w:rsidRPr="00370FB8" w:rsidRDefault="00370FB8" w:rsidP="6A61D147">
      <w:pPr>
        <w:spacing w:after="240"/>
        <w:rPr>
          <w:b/>
          <w:bCs/>
          <w:lang w:val="en-AU" w:eastAsia="en-GB" w:bidi="ar-SA"/>
        </w:rPr>
      </w:pPr>
      <w:r w:rsidRPr="6A61D147">
        <w:rPr>
          <w:b/>
          <w:bCs/>
          <w:lang w:val="en-AU" w:eastAsia="en-GB" w:bidi="ar-SA"/>
        </w:rPr>
        <w:t>1.</w:t>
      </w:r>
      <w:r>
        <w:tab/>
      </w:r>
      <w:r w:rsidRPr="6A61D147">
        <w:rPr>
          <w:b/>
          <w:bCs/>
          <w:lang w:val="en-AU" w:eastAsia="en-GB" w:bidi="ar-SA"/>
        </w:rPr>
        <w:t>Authority</w:t>
      </w:r>
    </w:p>
    <w:p w14:paraId="3C9E83D2" w14:textId="1F257811" w:rsidR="00456BD5" w:rsidRPr="005979DD" w:rsidRDefault="00456BD5" w:rsidP="6A61D147">
      <w:pPr>
        <w:widowControl/>
        <w:autoSpaceDE w:val="0"/>
        <w:autoSpaceDN w:val="0"/>
        <w:adjustRightInd w:val="0"/>
        <w:spacing w:after="240"/>
        <w:rPr>
          <w:rFonts w:eastAsia="Calibri" w:cs="Arial"/>
          <w:lang w:val="en-AU" w:bidi="ar-SA"/>
        </w:rPr>
      </w:pPr>
      <w:r w:rsidRPr="6A61D147">
        <w:rPr>
          <w:rFonts w:eastAsia="Calibri" w:cs="Arial"/>
          <w:lang w:val="en-AU" w:bidi="ar-SA"/>
        </w:rPr>
        <w:t xml:space="preserve">Section 13 of the </w:t>
      </w:r>
      <w:r w:rsidRPr="6A61D147">
        <w:rPr>
          <w:rFonts w:eastAsia="Calibri" w:cs="Arial"/>
          <w:i/>
          <w:iCs/>
          <w:lang w:val="en-AU" w:bidi="ar-SA"/>
        </w:rPr>
        <w:t>Food Standards Australia New Zealand Act 1991</w:t>
      </w:r>
      <w:r w:rsidRPr="6A61D147">
        <w:rPr>
          <w:rFonts w:eastAsia="Calibri" w:cs="Arial"/>
          <w:lang w:val="en-AU" w:bidi="ar-SA"/>
        </w:rPr>
        <w:t xml:space="preserve"> (the FSANZ Act) provides that the functions of Food Standards Australia New Zealand (the Authority) include the development of standards and variations of standards for inclusion in the </w:t>
      </w:r>
      <w:r w:rsidRPr="6A61D147">
        <w:rPr>
          <w:rFonts w:eastAsia="Calibri" w:cs="Arial"/>
          <w:i/>
          <w:iCs/>
          <w:lang w:val="en-AU" w:bidi="ar-SA"/>
        </w:rPr>
        <w:t>Australia New Zealand Food Standards Code</w:t>
      </w:r>
      <w:r w:rsidR="00370FB8" w:rsidRPr="6A61D147">
        <w:rPr>
          <w:rFonts w:eastAsia="Calibri" w:cs="Arial"/>
          <w:lang w:val="en-AU" w:bidi="ar-SA"/>
        </w:rPr>
        <w:t xml:space="preserve"> (the Code).</w:t>
      </w:r>
    </w:p>
    <w:p w14:paraId="308D4999" w14:textId="0899A6F9" w:rsidR="00370FB8" w:rsidRDefault="00456BD5" w:rsidP="6A61D147">
      <w:pPr>
        <w:widowControl/>
        <w:autoSpaceDE w:val="0"/>
        <w:autoSpaceDN w:val="0"/>
        <w:adjustRightInd w:val="0"/>
        <w:spacing w:after="240"/>
        <w:rPr>
          <w:rFonts w:eastAsia="Calibri" w:cs="Arial"/>
          <w:lang w:val="en-AU" w:bidi="ar-SA"/>
        </w:rPr>
      </w:pPr>
      <w:r w:rsidRPr="6A61D147">
        <w:rPr>
          <w:rFonts w:eastAsia="Calibri" w:cs="Arial"/>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0E605DE2" w14:textId="2BE3828E" w:rsidR="006178BC" w:rsidRPr="00370FB8" w:rsidRDefault="00456BD5" w:rsidP="6A61D147">
      <w:pPr>
        <w:widowControl/>
        <w:autoSpaceDE w:val="0"/>
        <w:autoSpaceDN w:val="0"/>
        <w:adjustRightInd w:val="0"/>
        <w:spacing w:after="240"/>
        <w:rPr>
          <w:rFonts w:eastAsia="Calibri" w:cs="Arial"/>
          <w:lang w:val="en-AU" w:bidi="ar-SA"/>
        </w:rPr>
      </w:pPr>
      <w:r w:rsidRPr="6A61D147">
        <w:rPr>
          <w:rFonts w:eastAsia="Calibri" w:cs="Arial"/>
          <w:lang w:val="en-AU" w:bidi="ar-SA"/>
        </w:rPr>
        <w:t>The Authority prepared Proposal P</w:t>
      </w:r>
      <w:r w:rsidR="005979DD" w:rsidRPr="6A61D147">
        <w:rPr>
          <w:rFonts w:eastAsia="Calibri" w:cs="Arial"/>
          <w:lang w:val="en-AU" w:bidi="ar-SA"/>
        </w:rPr>
        <w:t>1053</w:t>
      </w:r>
      <w:r w:rsidRPr="6A61D147">
        <w:rPr>
          <w:rFonts w:eastAsia="Calibri" w:cs="Arial"/>
          <w:lang w:val="en-AU" w:bidi="ar-SA"/>
        </w:rPr>
        <w:t xml:space="preserve"> to </w:t>
      </w:r>
      <w:r w:rsidR="00A5127A" w:rsidRPr="6A61D147">
        <w:rPr>
          <w:rFonts w:eastAsia="Calibri" w:cs="Arial"/>
          <w:lang w:val="en-AU" w:bidi="ar-SA"/>
        </w:rPr>
        <w:t xml:space="preserve">consider mandating </w:t>
      </w:r>
      <w:r w:rsidR="00280892">
        <w:t>three food safety management tools</w:t>
      </w:r>
      <w:r w:rsidRPr="6A61D147">
        <w:rPr>
          <w:rFonts w:eastAsia="Calibri" w:cs="Arial"/>
          <w:lang w:val="en-AU" w:bidi="ar-SA"/>
        </w:rPr>
        <w:t>. The Authority considered the Proposal in accordance with Division 2 of Part 3 and has approved a draft Standard</w:t>
      </w:r>
      <w:r w:rsidR="0078337E" w:rsidRPr="6A61D147">
        <w:rPr>
          <w:rFonts w:eastAsia="Calibri" w:cs="Arial"/>
          <w:lang w:val="en-AU" w:bidi="ar-SA"/>
        </w:rPr>
        <w:t xml:space="preserve"> </w:t>
      </w:r>
      <w:r w:rsidR="0078337E">
        <w:t xml:space="preserve">and </w:t>
      </w:r>
      <w:r w:rsidR="006178BC">
        <w:t xml:space="preserve">a related </w:t>
      </w:r>
      <w:r w:rsidR="0078337E">
        <w:t>consequential variation</w:t>
      </w:r>
      <w:r w:rsidRPr="6A61D147">
        <w:rPr>
          <w:rFonts w:eastAsia="Calibri" w:cs="Arial"/>
          <w:lang w:val="en-AU" w:bidi="ar-SA"/>
        </w:rPr>
        <w:t xml:space="preserve">. </w:t>
      </w:r>
    </w:p>
    <w:p w14:paraId="083C213B" w14:textId="2FB10301" w:rsidR="00941150" w:rsidRDefault="00456BD5" w:rsidP="6A61D147">
      <w:pPr>
        <w:spacing w:after="240"/>
        <w:rPr>
          <w:b/>
          <w:bCs/>
          <w:lang w:val="en-AU" w:eastAsia="en-GB" w:bidi="ar-SA"/>
        </w:rPr>
      </w:pPr>
      <w:r w:rsidRPr="6A61D147">
        <w:rPr>
          <w:b/>
          <w:bCs/>
          <w:lang w:val="en-AU" w:eastAsia="en-GB" w:bidi="ar-SA"/>
        </w:rPr>
        <w:t>2.</w:t>
      </w:r>
      <w:r>
        <w:tab/>
      </w:r>
      <w:r w:rsidR="00941150" w:rsidRPr="6A61D147">
        <w:rPr>
          <w:b/>
          <w:bCs/>
          <w:lang w:val="en-AU" w:eastAsia="en-GB" w:bidi="ar-SA"/>
        </w:rPr>
        <w:t>Variat</w:t>
      </w:r>
      <w:r w:rsidR="00370FB8" w:rsidRPr="6A61D147">
        <w:rPr>
          <w:b/>
          <w:bCs/>
          <w:lang w:val="en-AU" w:eastAsia="en-GB" w:bidi="ar-SA"/>
        </w:rPr>
        <w:t>ion is a legislative instrument</w:t>
      </w:r>
    </w:p>
    <w:p w14:paraId="05D38537" w14:textId="36F22A65" w:rsidR="00941150" w:rsidRPr="00D00473" w:rsidRDefault="00941150" w:rsidP="6A61D147">
      <w:pPr>
        <w:spacing w:after="240"/>
        <w:rPr>
          <w:rFonts w:cs="Arial"/>
          <w:lang w:bidi="ar-SA"/>
        </w:rPr>
      </w:pPr>
      <w:r w:rsidRPr="6A61D147">
        <w:rPr>
          <w:rFonts w:cs="Arial"/>
        </w:rPr>
        <w:t xml:space="preserve">The approved draft variation is a legislative instrument for the purposes of the </w:t>
      </w:r>
      <w:r w:rsidRPr="6A61D147">
        <w:rPr>
          <w:rFonts w:cs="Arial"/>
          <w:i/>
          <w:iCs/>
        </w:rPr>
        <w:t>Legislation Act 2003</w:t>
      </w:r>
      <w:r w:rsidRPr="6A61D147">
        <w:rPr>
          <w:rFonts w:cs="Arial"/>
        </w:rPr>
        <w:t xml:space="preserve"> (see section 94 of the FSANZ Act) and is publicly available on the Federal Register of Legislation (</w:t>
      </w:r>
      <w:hyperlink r:id="rId40">
        <w:r w:rsidRPr="6A61D147">
          <w:rPr>
            <w:rFonts w:cs="Arial"/>
            <w:color w:val="3333FF"/>
            <w:u w:val="single"/>
          </w:rPr>
          <w:t>www.legislation.gov.au</w:t>
        </w:r>
      </w:hyperlink>
      <w:r w:rsidRPr="6A61D147">
        <w:rPr>
          <w:rFonts w:cs="Arial"/>
        </w:rPr>
        <w:t>).</w:t>
      </w:r>
    </w:p>
    <w:p w14:paraId="063163C1" w14:textId="77777777" w:rsidR="00941150" w:rsidRPr="00FB45C7" w:rsidRDefault="00941150" w:rsidP="00370FB8">
      <w:pPr>
        <w:spacing w:after="240"/>
        <w:rPr>
          <w:rFonts w:cs="Arial"/>
        </w:rPr>
      </w:pPr>
      <w:r w:rsidRPr="00D00473">
        <w:rPr>
          <w:rFonts w:cs="Arial"/>
        </w:rPr>
        <w:t xml:space="preserve">This instrument is not subject to the disallowance or sunsetting provisions of the </w:t>
      </w:r>
      <w:r w:rsidRPr="6A61D147">
        <w:rPr>
          <w:rFonts w:cs="Arial"/>
          <w:i/>
          <w:iCs/>
        </w:rPr>
        <w:t xml:space="preserve">Legislation Act 2003. </w:t>
      </w:r>
      <w:r w:rsidRPr="00D00473">
        <w:rPr>
          <w:rFonts w:cs="Arial"/>
        </w:rPr>
        <w:t>Subsections</w:t>
      </w:r>
      <w:r w:rsidRPr="6A61D147">
        <w:rPr>
          <w:rFonts w:cs="Arial"/>
          <w:i/>
          <w:iCs/>
        </w:rPr>
        <w:t xml:space="preserve"> </w:t>
      </w:r>
      <w:r w:rsidRPr="00FB45C7">
        <w:rPr>
          <w:rFonts w:cs="Arial"/>
        </w:rPr>
        <w:t>44(1) and 54(1) of that Act</w:t>
      </w:r>
      <w:r w:rsidRPr="6A61D14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6A61D14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58B6B9A3" w14:textId="0BA457F1" w:rsidR="00941150" w:rsidRDefault="00941150" w:rsidP="6A61D147">
      <w:pPr>
        <w:spacing w:after="240"/>
        <w:rPr>
          <w:b/>
          <w:bCs/>
          <w:lang w:val="en-AU" w:eastAsia="en-GB" w:bidi="ar-SA"/>
        </w:rPr>
      </w:pPr>
      <w:r w:rsidRPr="6A61D147">
        <w:rPr>
          <w:rFonts w:cs="Arial"/>
        </w:rPr>
        <w:t xml:space="preserve">The </w:t>
      </w:r>
      <w:r w:rsidRPr="6A61D147">
        <w:rPr>
          <w:rFonts w:cs="Arial"/>
          <w:lang w:val="en-AU"/>
        </w:rPr>
        <w:t>FSANZ Act</w:t>
      </w:r>
      <w:r w:rsidRPr="6A61D147">
        <w:rPr>
          <w:rFonts w:cs="Arial"/>
          <w:i/>
          <w:iCs/>
          <w:lang w:val="en-AU"/>
        </w:rPr>
        <w:t xml:space="preserve"> </w:t>
      </w:r>
      <w:r w:rsidRPr="6A61D147">
        <w:rPr>
          <w:rFonts w:cs="Arial"/>
          <w:lang w:val="en-AU"/>
        </w:rPr>
        <w:t xml:space="preserve">gives effect to </w:t>
      </w:r>
      <w:r w:rsidRPr="6A61D147">
        <w:rPr>
          <w:rFonts w:cs="Arial"/>
        </w:rPr>
        <w:t xml:space="preserve">an intergovernmental agreement (the Food Regulation Agreement) and facilitates the establishment or operation of an intergovernmental scheme (national uniform food regulation). </w:t>
      </w:r>
      <w:r w:rsidRPr="6A61D147">
        <w:rPr>
          <w:rFonts w:cs="Arial"/>
          <w:lang w:val="en-AU"/>
        </w:rPr>
        <w:t>That Act also</w:t>
      </w:r>
      <w:r w:rsidRPr="6A61D147">
        <w:rPr>
          <w:rFonts w:cs="Arial"/>
          <w:i/>
          <w:iCs/>
          <w:lang w:val="en-AU"/>
        </w:rPr>
        <w:t xml:space="preserve"> </w:t>
      </w:r>
      <w:r w:rsidRPr="6A61D147">
        <w:rPr>
          <w:rFonts w:cs="Arial"/>
          <w:lang w:val="en-AU"/>
        </w:rPr>
        <w:t xml:space="preserve">gives effect to Australia’s obligations under an international agreement between Australia and New Zealand. For these purposes, the Act </w:t>
      </w:r>
      <w:r w:rsidRPr="6A61D147">
        <w:rPr>
          <w:rFonts w:cs="Arial"/>
        </w:rPr>
        <w:t xml:space="preserve">establishes the Authority to </w:t>
      </w:r>
      <w:r w:rsidRPr="6A61D147">
        <w:rPr>
          <w:rFonts w:cs="Arial"/>
          <w:lang w:val="en-AU"/>
        </w:rPr>
        <w:t xml:space="preserve">develop food standards </w:t>
      </w:r>
      <w:r w:rsidRPr="6A61D147">
        <w:rPr>
          <w:rFonts w:cs="Arial"/>
        </w:rPr>
        <w:t xml:space="preserve">for consideration and endorsement by the Food Ministers Meeting (FMM). The FMM is established under the Food Regulation Agreement and the </w:t>
      </w:r>
      <w:r w:rsidRPr="6A61D147">
        <w:rPr>
          <w:rFonts w:cs="Arial"/>
          <w:lang w:val="en-AU"/>
        </w:rPr>
        <w:t>international agreement between Australia and New Zealand</w:t>
      </w:r>
      <w:r w:rsidRPr="6A61D147">
        <w:rPr>
          <w:rFonts w:cs="Arial"/>
        </w:rPr>
        <w:t xml:space="preserve">, and consists of New Zealand, Commonwealth and State/Territory members. If endorsed by the FMM, </w:t>
      </w:r>
      <w:r w:rsidRPr="6A61D14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150A9871" w14:textId="304CC476" w:rsidR="00456BD5" w:rsidRDefault="00941150" w:rsidP="6A61D147">
      <w:pPr>
        <w:spacing w:after="240"/>
        <w:rPr>
          <w:b/>
          <w:bCs/>
          <w:lang w:val="en-AU" w:eastAsia="en-GB" w:bidi="ar-SA"/>
        </w:rPr>
      </w:pPr>
      <w:r w:rsidRPr="6A61D147">
        <w:rPr>
          <w:b/>
          <w:bCs/>
          <w:lang w:val="en-AU" w:eastAsia="en-GB" w:bidi="ar-SA"/>
        </w:rPr>
        <w:t>3.</w:t>
      </w:r>
      <w:r>
        <w:tab/>
      </w:r>
      <w:r w:rsidR="00456BD5" w:rsidRPr="6A61D147">
        <w:rPr>
          <w:b/>
          <w:bCs/>
          <w:lang w:val="en-AU" w:eastAsia="en-GB" w:bidi="ar-SA"/>
        </w:rPr>
        <w:t xml:space="preserve">Purpose </w:t>
      </w:r>
    </w:p>
    <w:p w14:paraId="0D794A53" w14:textId="04319C8F" w:rsidR="00280892" w:rsidRDefault="00280892" w:rsidP="00370FB8">
      <w:pPr>
        <w:spacing w:after="240"/>
      </w:pPr>
      <w:r w:rsidRPr="6A61D147">
        <w:rPr>
          <w:lang w:val="en-AU" w:eastAsia="en-GB" w:bidi="ar-SA"/>
        </w:rPr>
        <w:t xml:space="preserve">The Authority has </w:t>
      </w:r>
      <w:r w:rsidR="00CB7716" w:rsidRPr="6A61D147">
        <w:rPr>
          <w:lang w:val="en-AU" w:eastAsia="en-GB" w:bidi="ar-SA"/>
        </w:rPr>
        <w:t>approved</w:t>
      </w:r>
      <w:r w:rsidRPr="6A61D147">
        <w:rPr>
          <w:lang w:val="en-AU" w:eastAsia="en-GB" w:bidi="ar-SA"/>
        </w:rPr>
        <w:t xml:space="preserve"> Standard 3.2.2A to enhance food safety control measures for food businesses that handle potentially hazardous food in the food service and retail sectors. </w:t>
      </w:r>
    </w:p>
    <w:p w14:paraId="293AB239" w14:textId="07FC2467" w:rsidR="00456BD5" w:rsidRDefault="00280892" w:rsidP="00370FB8">
      <w:pPr>
        <w:spacing w:after="240"/>
        <w:rPr>
          <w:lang w:val="en-AU" w:eastAsia="en-GB" w:bidi="ar-SA"/>
        </w:rPr>
      </w:pPr>
      <w:r>
        <w:t xml:space="preserve">These measures, called food safety management tools, are applied proportionately to the </w:t>
      </w:r>
      <w:r>
        <w:lastRenderedPageBreak/>
        <w:t xml:space="preserve">risk posed by specific food handling activities. They are designed to improve the skills and knowledge of food handlers and their supervisors, and to assist both businesses and enforcement agencies to more quickly identify failures in the management of potentially hazardous food and take appropriate action. The tools are: food safety training for food handlers engaged in prescribed activities; the appointment of food safety supervisors to advise and supervise the safe handling of specific food; and keeping evidence to substantiate the management of key food handling activities by certain businesses. </w:t>
      </w:r>
    </w:p>
    <w:p w14:paraId="4BD40062" w14:textId="2CA6395F" w:rsidR="00456BD5" w:rsidRPr="000576EB" w:rsidRDefault="00941150" w:rsidP="6A61D147">
      <w:pPr>
        <w:spacing w:after="240"/>
        <w:rPr>
          <w:b/>
          <w:bCs/>
          <w:lang w:val="en-AU" w:eastAsia="en-GB" w:bidi="ar-SA"/>
        </w:rPr>
      </w:pPr>
      <w:r w:rsidRPr="6A61D147">
        <w:rPr>
          <w:b/>
          <w:bCs/>
          <w:lang w:val="en-AU" w:eastAsia="en-GB" w:bidi="ar-SA"/>
        </w:rPr>
        <w:t>4</w:t>
      </w:r>
      <w:r w:rsidR="00456BD5" w:rsidRPr="6A61D147">
        <w:rPr>
          <w:b/>
          <w:bCs/>
          <w:lang w:val="en-AU" w:eastAsia="en-GB" w:bidi="ar-SA"/>
        </w:rPr>
        <w:t>.</w:t>
      </w:r>
      <w:r>
        <w:tab/>
      </w:r>
      <w:r w:rsidR="00456BD5" w:rsidRPr="6A61D147">
        <w:rPr>
          <w:b/>
          <w:bCs/>
          <w:lang w:val="en-AU" w:eastAsia="en-GB" w:bidi="ar-SA"/>
        </w:rPr>
        <w:t>Documents incorporated by reference</w:t>
      </w:r>
    </w:p>
    <w:p w14:paraId="5FF8BA5A" w14:textId="27C673FA" w:rsidR="00F13010" w:rsidRDefault="006E798B" w:rsidP="6A61D147">
      <w:pPr>
        <w:spacing w:after="240"/>
        <w:rPr>
          <w:rFonts w:eastAsia="Calibri" w:cs="Arial"/>
          <w:color w:val="FF0000"/>
          <w:lang w:val="en-AU" w:bidi="ar-SA"/>
        </w:rPr>
      </w:pPr>
      <w:r w:rsidRPr="6A61D147">
        <w:rPr>
          <w:rFonts w:eastAsia="Calibri" w:cs="Arial"/>
          <w:lang w:val="en-AU" w:bidi="ar-SA"/>
        </w:rPr>
        <w:t>The approved draft Standard does not incorporate any documents by reference.</w:t>
      </w:r>
      <w:r w:rsidRPr="6A61D147">
        <w:rPr>
          <w:rFonts w:eastAsia="Calibri" w:cs="Arial"/>
          <w:color w:val="FF0000"/>
          <w:lang w:val="en-AU" w:bidi="ar-SA"/>
        </w:rPr>
        <w:t xml:space="preserve"> </w:t>
      </w:r>
    </w:p>
    <w:p w14:paraId="2D0F8242" w14:textId="1EC95A8B" w:rsidR="00456BD5" w:rsidRPr="000576EB" w:rsidRDefault="00941150" w:rsidP="6A61D147">
      <w:pPr>
        <w:spacing w:after="240"/>
        <w:rPr>
          <w:b/>
          <w:bCs/>
          <w:lang w:val="en-AU" w:eastAsia="en-GB" w:bidi="ar-SA"/>
        </w:rPr>
      </w:pPr>
      <w:r w:rsidRPr="6A61D147">
        <w:rPr>
          <w:b/>
          <w:bCs/>
          <w:lang w:val="en-AU" w:eastAsia="en-GB" w:bidi="ar-SA"/>
        </w:rPr>
        <w:t>5</w:t>
      </w:r>
      <w:r w:rsidR="00456BD5" w:rsidRPr="6A61D147">
        <w:rPr>
          <w:b/>
          <w:bCs/>
          <w:lang w:val="en-AU" w:eastAsia="en-GB" w:bidi="ar-SA"/>
        </w:rPr>
        <w:t>.</w:t>
      </w:r>
      <w:r>
        <w:tab/>
      </w:r>
      <w:r w:rsidR="00456BD5" w:rsidRPr="6A61D147">
        <w:rPr>
          <w:b/>
          <w:bCs/>
          <w:lang w:val="en-AU" w:eastAsia="en-GB" w:bidi="ar-SA"/>
        </w:rPr>
        <w:t>Consultation</w:t>
      </w:r>
    </w:p>
    <w:p w14:paraId="1FC456BA" w14:textId="35DC73ED" w:rsidR="00456BD5" w:rsidRPr="00A94813" w:rsidRDefault="00456BD5" w:rsidP="00370FB8">
      <w:pPr>
        <w:spacing w:after="240"/>
        <w:rPr>
          <w:lang w:val="en-AU"/>
        </w:rPr>
      </w:pPr>
      <w:r>
        <w:t xml:space="preserve">In accordance with the procedure in Division </w:t>
      </w:r>
      <w:r w:rsidR="00CB7716">
        <w:t>2</w:t>
      </w:r>
      <w:r>
        <w:t xml:space="preserve"> of Part </w:t>
      </w:r>
      <w:r w:rsidR="00CB7716">
        <w:t xml:space="preserve">3 </w:t>
      </w:r>
      <w:r>
        <w:t xml:space="preserve">of the FSANZ Act, </w:t>
      </w:r>
      <w:r w:rsidRPr="6A61D147">
        <w:rPr>
          <w:rFonts w:eastAsia="Calibri" w:cs="Arial"/>
          <w:lang w:val="en-AU" w:bidi="ar-SA"/>
        </w:rPr>
        <w:t>the Authority</w:t>
      </w:r>
      <w:r>
        <w:t>’s consideration of Proposal P</w:t>
      </w:r>
      <w:r w:rsidR="005979DD">
        <w:t>1053</w:t>
      </w:r>
      <w:r>
        <w:t xml:space="preserve"> included one round of public consultation following an assessment and the preparation of a draft </w:t>
      </w:r>
      <w:r w:rsidR="005979DD">
        <w:t>s</w:t>
      </w:r>
      <w:r>
        <w:t>tandard</w:t>
      </w:r>
      <w:r w:rsidR="0078337E">
        <w:t xml:space="preserve">, </w:t>
      </w:r>
      <w:r w:rsidR="006E798B">
        <w:t xml:space="preserve">a </w:t>
      </w:r>
      <w:r w:rsidR="0078337E">
        <w:t xml:space="preserve">consequential variation </w:t>
      </w:r>
      <w:r>
        <w:t>and associated report</w:t>
      </w:r>
      <w:r w:rsidR="005979DD">
        <w:t xml:space="preserve">. </w:t>
      </w:r>
      <w:r>
        <w:t xml:space="preserve">Submissions were called for on </w:t>
      </w:r>
      <w:r w:rsidR="00CB7716">
        <w:t>14</w:t>
      </w:r>
      <w:r>
        <w:t xml:space="preserve"> </w:t>
      </w:r>
      <w:r w:rsidR="0059290D">
        <w:t>February</w:t>
      </w:r>
      <w:r>
        <w:t xml:space="preserve"> 20</w:t>
      </w:r>
      <w:r w:rsidR="005979DD">
        <w:t>22</w:t>
      </w:r>
      <w:r>
        <w:t xml:space="preserve"> for a</w:t>
      </w:r>
      <w:r w:rsidR="005979DD">
        <w:t>n eight</w:t>
      </w:r>
      <w:r>
        <w:t xml:space="preserve">-week consultation period. </w:t>
      </w:r>
    </w:p>
    <w:p w14:paraId="590A992E" w14:textId="346CE371" w:rsidR="00456BD5" w:rsidRPr="00AB1120" w:rsidRDefault="006E798B" w:rsidP="00370FB8">
      <w:pPr>
        <w:spacing w:after="240"/>
      </w:pPr>
      <w:r>
        <w:rPr>
          <w:rFonts w:eastAsia="Calibri"/>
          <w:color w:val="000000" w:themeColor="text1"/>
        </w:rPr>
        <w:t xml:space="preserve">A </w:t>
      </w:r>
      <w:r w:rsidR="003560D0">
        <w:rPr>
          <w:rFonts w:eastAsia="Calibri"/>
          <w:color w:val="000000" w:themeColor="text1"/>
        </w:rPr>
        <w:t>D</w:t>
      </w:r>
      <w:r>
        <w:rPr>
          <w:rFonts w:eastAsia="Calibri"/>
          <w:color w:val="000000" w:themeColor="text1"/>
        </w:rPr>
        <w:t>ecision Regulation Impact</w:t>
      </w:r>
      <w:r w:rsidRPr="00131F7A">
        <w:rPr>
          <w:rFonts w:eastAsia="Calibri"/>
          <w:color w:val="000000" w:themeColor="text1"/>
        </w:rPr>
        <w:t xml:space="preserve"> Statement </w:t>
      </w:r>
      <w:r>
        <w:rPr>
          <w:rFonts w:eastAsia="Calibri"/>
          <w:color w:val="000000" w:themeColor="text1"/>
        </w:rPr>
        <w:t>(D</w:t>
      </w:r>
      <w:r w:rsidRPr="00117A21">
        <w:rPr>
          <w:rFonts w:eastAsia="Calibri"/>
          <w:color w:val="000000" w:themeColor="text1"/>
        </w:rPr>
        <w:t>RIS</w:t>
      </w:r>
      <w:r>
        <w:rPr>
          <w:rFonts w:eastAsia="Calibri"/>
          <w:color w:val="000000" w:themeColor="text1"/>
        </w:rPr>
        <w:t>)</w:t>
      </w:r>
      <w:r w:rsidRPr="00117A21">
        <w:rPr>
          <w:rFonts w:eastAsia="Calibri"/>
          <w:color w:val="000000" w:themeColor="text1"/>
        </w:rPr>
        <w:t xml:space="preserve"> </w:t>
      </w:r>
      <w:r>
        <w:rPr>
          <w:rFonts w:eastAsia="Calibri"/>
          <w:color w:val="000000" w:themeColor="text1"/>
        </w:rPr>
        <w:t>was prepared by the Authority and has been approved by t</w:t>
      </w:r>
      <w:r w:rsidRPr="00117A21">
        <w:rPr>
          <w:rFonts w:eastAsia="Calibri"/>
          <w:color w:val="000000" w:themeColor="text1"/>
        </w:rPr>
        <w:t>he Of</w:t>
      </w:r>
      <w:r>
        <w:rPr>
          <w:rFonts w:eastAsia="Calibri"/>
          <w:color w:val="000000" w:themeColor="text1"/>
        </w:rPr>
        <w:t xml:space="preserve">fice of Best Practice Regulation (Reference - </w:t>
      </w:r>
      <w:r w:rsidR="007C4F6B" w:rsidRPr="007C4F6B">
        <w:rPr>
          <w:color w:val="000000"/>
          <w:sz w:val="21"/>
          <w:szCs w:val="21"/>
          <w:shd w:val="clear" w:color="auto" w:fill="FFFFFF"/>
        </w:rPr>
        <w:t>OBPR21-01217</w:t>
      </w:r>
      <w:r>
        <w:rPr>
          <w:color w:val="000000"/>
          <w:sz w:val="21"/>
          <w:szCs w:val="21"/>
          <w:shd w:val="clear" w:color="auto" w:fill="FFFFFF"/>
        </w:rPr>
        <w:t>)</w:t>
      </w:r>
      <w:r>
        <w:rPr>
          <w:rFonts w:eastAsia="Calibri"/>
          <w:color w:val="000000" w:themeColor="text1"/>
        </w:rPr>
        <w:t>.</w:t>
      </w:r>
      <w:r w:rsidR="00AB1120">
        <w:rPr>
          <w:rFonts w:eastAsia="Calibri"/>
          <w:color w:val="000000" w:themeColor="text1"/>
        </w:rPr>
        <w:t xml:space="preserve"> </w:t>
      </w:r>
      <w:r w:rsidR="00AB1120">
        <w:t xml:space="preserve">A copy of the DRIS is available on the FSANZ website. </w:t>
      </w:r>
    </w:p>
    <w:p w14:paraId="4710489F" w14:textId="22307BC9" w:rsidR="00456BD5" w:rsidRDefault="00941150" w:rsidP="6A61D147">
      <w:pPr>
        <w:widowControl/>
        <w:spacing w:after="240"/>
        <w:rPr>
          <w:rFonts w:eastAsiaTheme="minorEastAsia" w:cs="Arial"/>
          <w:b/>
          <w:bCs/>
          <w:lang w:val="en-AU" w:bidi="ar-SA"/>
        </w:rPr>
      </w:pPr>
      <w:r w:rsidRPr="6A61D147">
        <w:rPr>
          <w:rFonts w:eastAsiaTheme="minorEastAsia" w:cs="Arial"/>
          <w:b/>
          <w:bCs/>
          <w:lang w:val="en-AU" w:bidi="ar-SA"/>
        </w:rPr>
        <w:t>6</w:t>
      </w:r>
      <w:r w:rsidR="00456BD5" w:rsidRPr="6A61D147">
        <w:rPr>
          <w:rFonts w:eastAsiaTheme="minorEastAsia" w:cs="Arial"/>
          <w:b/>
          <w:bCs/>
          <w:lang w:val="en-AU" w:bidi="ar-SA"/>
        </w:rPr>
        <w:t>.</w:t>
      </w:r>
      <w:r>
        <w:tab/>
      </w:r>
      <w:r w:rsidR="00456BD5" w:rsidRPr="6A61D147">
        <w:rPr>
          <w:rFonts w:eastAsiaTheme="minorEastAsia" w:cs="Arial"/>
          <w:b/>
          <w:bCs/>
          <w:lang w:val="en-AU" w:bidi="ar-SA"/>
        </w:rPr>
        <w:t>Statement of compatibility with human rights</w:t>
      </w:r>
    </w:p>
    <w:p w14:paraId="726E629B" w14:textId="71C515AB" w:rsidR="00456BD5" w:rsidRDefault="00456BD5" w:rsidP="6A61D147">
      <w:pPr>
        <w:spacing w:after="240"/>
        <w:rPr>
          <w:rFonts w:eastAsiaTheme="minorEastAsia"/>
          <w:lang w:val="en-AU" w:bidi="ar-SA"/>
        </w:rPr>
      </w:pPr>
      <w:r w:rsidRPr="6A61D147">
        <w:rPr>
          <w:rFonts w:eastAsiaTheme="minorEastAsia"/>
          <w:lang w:val="en-AU" w:bidi="ar-SA"/>
        </w:rPr>
        <w:t xml:space="preserve">This instrument is exempt from the requirements for a statement of compatibility with human rights as it is a non-disallowable instrument under section </w:t>
      </w:r>
      <w:r w:rsidR="00941150" w:rsidRPr="6A61D147">
        <w:rPr>
          <w:rFonts w:eastAsiaTheme="minorEastAsia"/>
          <w:lang w:val="en-AU" w:bidi="ar-SA"/>
        </w:rPr>
        <w:t>44</w:t>
      </w:r>
      <w:r w:rsidRPr="6A61D147">
        <w:rPr>
          <w:rFonts w:eastAsiaTheme="minorEastAsia"/>
          <w:lang w:val="en-AU" w:bidi="ar-SA"/>
        </w:rPr>
        <w:t xml:space="preserve"> of the </w:t>
      </w:r>
      <w:r w:rsidR="00941150" w:rsidRPr="6A61D147">
        <w:rPr>
          <w:rFonts w:eastAsiaTheme="minorEastAsia"/>
          <w:i/>
          <w:iCs/>
          <w:lang w:val="en-AU" w:bidi="ar-SA"/>
        </w:rPr>
        <w:t>Legislation Act 2003</w:t>
      </w:r>
      <w:r w:rsidRPr="6A61D147">
        <w:rPr>
          <w:rFonts w:eastAsiaTheme="minorEastAsia"/>
          <w:lang w:val="en-AU" w:bidi="ar-SA"/>
        </w:rPr>
        <w:t>.</w:t>
      </w:r>
    </w:p>
    <w:p w14:paraId="4AF36DE5" w14:textId="031CB4A2" w:rsidR="00456BD5" w:rsidRPr="00432A42" w:rsidRDefault="00941150" w:rsidP="6A61D147">
      <w:pPr>
        <w:spacing w:after="240"/>
        <w:rPr>
          <w:b/>
          <w:bCs/>
          <w:lang w:val="en-AU" w:eastAsia="en-GB" w:bidi="ar-SA"/>
        </w:rPr>
      </w:pPr>
      <w:r w:rsidRPr="6A61D147">
        <w:rPr>
          <w:b/>
          <w:bCs/>
        </w:rPr>
        <w:t>7</w:t>
      </w:r>
      <w:r w:rsidR="00456BD5" w:rsidRPr="6A61D147">
        <w:rPr>
          <w:b/>
          <w:bCs/>
        </w:rPr>
        <w:t>.</w:t>
      </w:r>
      <w:r>
        <w:tab/>
      </w:r>
      <w:r w:rsidR="006E798B" w:rsidRPr="6A61D147">
        <w:rPr>
          <w:b/>
          <w:bCs/>
          <w:lang w:val="en-AU" w:eastAsia="en-GB" w:bidi="ar-SA"/>
        </w:rPr>
        <w:t xml:space="preserve">Approved </w:t>
      </w:r>
      <w:r w:rsidR="003560D0" w:rsidRPr="6A61D147">
        <w:rPr>
          <w:b/>
          <w:bCs/>
          <w:lang w:val="en-AU" w:eastAsia="en-GB" w:bidi="ar-SA"/>
        </w:rPr>
        <w:t>D</w:t>
      </w:r>
      <w:r w:rsidR="006E798B" w:rsidRPr="6A61D147">
        <w:rPr>
          <w:b/>
          <w:bCs/>
          <w:lang w:val="en-AU" w:eastAsia="en-GB" w:bidi="ar-SA"/>
        </w:rPr>
        <w:t>raft Standard</w:t>
      </w:r>
    </w:p>
    <w:p w14:paraId="3D297B23" w14:textId="6CAA963D" w:rsidR="00370FB8" w:rsidRDefault="00CB7716" w:rsidP="00370FB8">
      <w:pPr>
        <w:spacing w:after="240"/>
      </w:pPr>
      <w:r>
        <w:t xml:space="preserve">The draft food regulatory measure would add a new Standard to the Code – Standard 3.2.2A Food Safety Management Tools. </w:t>
      </w:r>
    </w:p>
    <w:p w14:paraId="08B619E6" w14:textId="7FC633B6" w:rsidR="00370FB8" w:rsidRDefault="00CB7716" w:rsidP="00370FB8">
      <w:pPr>
        <w:spacing w:after="240"/>
      </w:pPr>
      <w:r>
        <w:t>There are two Notes immediately after the title of the proposed new Standard.</w:t>
      </w:r>
      <w:r w:rsidR="006813E9">
        <w:t xml:space="preserve"> </w:t>
      </w:r>
      <w:r>
        <w:t>Note 1 explains that the instrument is a standard under the FSANZ Act, the standards together make up the Code, and refers to section 1.1.1—3 of the Code. Section 1.1.1—3 is a provision about the application of the Code.</w:t>
      </w:r>
      <w:r w:rsidR="006813E9">
        <w:t xml:space="preserve"> </w:t>
      </w:r>
      <w:r>
        <w:t xml:space="preserve">Note 2 explains the proposed new Standard would apply in Australia only – it would not apply in New Zealand. </w:t>
      </w:r>
    </w:p>
    <w:p w14:paraId="4C0FE017" w14:textId="3143584E" w:rsidR="006E798B" w:rsidRDefault="00CB7716" w:rsidP="00370FB8">
      <w:pPr>
        <w:spacing w:after="240"/>
        <w:rPr>
          <w:b/>
          <w:bCs/>
        </w:rPr>
      </w:pPr>
      <w:r w:rsidRPr="6A61D147">
        <w:rPr>
          <w:b/>
          <w:bCs/>
        </w:rPr>
        <w:t>Section 3.2.2A—1</w:t>
      </w:r>
      <w:r w:rsidR="007473BD">
        <w:t>:</w:t>
      </w:r>
      <w:r>
        <w:t xml:space="preserve"> </w:t>
      </w:r>
      <w:r w:rsidR="00574F1C">
        <w:t>T</w:t>
      </w:r>
      <w:r w:rsidR="00253DA3">
        <w:t>his provision e</w:t>
      </w:r>
      <w:r>
        <w:t xml:space="preserve">stablishes that the name of the Standard is the </w:t>
      </w:r>
      <w:r w:rsidRPr="6A61D147">
        <w:rPr>
          <w:i/>
          <w:iCs/>
        </w:rPr>
        <w:t xml:space="preserve">Australia New Zealand Food Standards Code </w:t>
      </w:r>
      <w:r>
        <w:t>– Standard 3.2.2A – Food Safety Management Tools</w:t>
      </w:r>
      <w:r w:rsidRPr="6A61D147">
        <w:rPr>
          <w:i/>
          <w:iCs/>
        </w:rPr>
        <w:t xml:space="preserve">. </w:t>
      </w:r>
    </w:p>
    <w:p w14:paraId="427AD887" w14:textId="3314CD79" w:rsidR="00CB7716" w:rsidRDefault="006E798B" w:rsidP="00370FB8">
      <w:pPr>
        <w:spacing w:after="240"/>
      </w:pPr>
      <w:r>
        <w:t xml:space="preserve">The Note to this </w:t>
      </w:r>
      <w:r w:rsidR="00CB7716">
        <w:t>section explain</w:t>
      </w:r>
      <w:r>
        <w:t>s</w:t>
      </w:r>
      <w:r w:rsidR="00CB7716">
        <w:t xml:space="preserve"> that the Standard </w:t>
      </w:r>
      <w:r w:rsidR="00AB1120">
        <w:t xml:space="preserve">will </w:t>
      </w:r>
      <w:r w:rsidR="00CB7716">
        <w:t xml:space="preserve">commence 12 months after the date of gazettal, being the date specified in accordance with section </w:t>
      </w:r>
      <w:r w:rsidR="00253DA3">
        <w:t>92</w:t>
      </w:r>
      <w:r w:rsidR="00CB7716">
        <w:t xml:space="preserve"> of the FSANZ Act. </w:t>
      </w:r>
    </w:p>
    <w:p w14:paraId="7DD18263" w14:textId="1A49960C" w:rsidR="00CB7716" w:rsidRDefault="00CB7716" w:rsidP="00370FB8">
      <w:pPr>
        <w:spacing w:before="240" w:after="240"/>
      </w:pPr>
      <w:bookmarkStart w:id="191" w:name="_Ref299606496"/>
      <w:bookmarkStart w:id="192" w:name="_Toc371505287"/>
      <w:bookmarkStart w:id="193" w:name="_Toc400031886"/>
      <w:bookmarkEnd w:id="191"/>
      <w:bookmarkEnd w:id="192"/>
      <w:bookmarkEnd w:id="193"/>
      <w:r>
        <w:rPr>
          <w:b/>
          <w:bCs/>
          <w:kern w:val="32"/>
        </w:rPr>
        <w:t xml:space="preserve">Section </w:t>
      </w:r>
      <w:r w:rsidRPr="00AB075F">
        <w:rPr>
          <w:b/>
          <w:bCs/>
          <w:kern w:val="32"/>
        </w:rPr>
        <w:t>3.2.2A—2</w:t>
      </w:r>
      <w:r w:rsidR="007473BD">
        <w:rPr>
          <w:b/>
          <w:bCs/>
          <w:kern w:val="32"/>
        </w:rPr>
        <w:t>:</w:t>
      </w:r>
      <w:r w:rsidR="00253DA3">
        <w:rPr>
          <w:b/>
          <w:bCs/>
          <w:kern w:val="32"/>
        </w:rPr>
        <w:t xml:space="preserve"> </w:t>
      </w:r>
      <w:r w:rsidR="00253DA3">
        <w:t xml:space="preserve">This provision </w:t>
      </w:r>
      <w:r>
        <w:rPr>
          <w:bCs/>
          <w:kern w:val="32"/>
        </w:rPr>
        <w:t>sets out</w:t>
      </w:r>
      <w:r w:rsidRPr="007B0EEC">
        <w:rPr>
          <w:bCs/>
          <w:kern w:val="32"/>
        </w:rPr>
        <w:t xml:space="preserve"> definitions for </w:t>
      </w:r>
      <w:r>
        <w:rPr>
          <w:bCs/>
          <w:kern w:val="32"/>
        </w:rPr>
        <w:t xml:space="preserve">certain key words used in </w:t>
      </w:r>
      <w:r w:rsidR="00253DA3">
        <w:rPr>
          <w:bCs/>
          <w:kern w:val="32"/>
        </w:rPr>
        <w:t>the</w:t>
      </w:r>
      <w:r w:rsidR="00253DA3" w:rsidRPr="007B0EEC">
        <w:rPr>
          <w:bCs/>
          <w:kern w:val="32"/>
        </w:rPr>
        <w:t xml:space="preserve"> </w:t>
      </w:r>
      <w:r w:rsidRPr="007B0EEC">
        <w:rPr>
          <w:bCs/>
          <w:kern w:val="32"/>
        </w:rPr>
        <w:t>Standard</w:t>
      </w:r>
      <w:r>
        <w:rPr>
          <w:bCs/>
          <w:kern w:val="32"/>
        </w:rPr>
        <w:t xml:space="preserve">, and signposts to the definitions of other key words used in </w:t>
      </w:r>
      <w:r w:rsidR="00253DA3">
        <w:rPr>
          <w:bCs/>
          <w:kern w:val="32"/>
        </w:rPr>
        <w:t>the</w:t>
      </w:r>
      <w:r w:rsidR="00253DA3" w:rsidRPr="007B0EEC">
        <w:rPr>
          <w:bCs/>
          <w:kern w:val="32"/>
        </w:rPr>
        <w:t xml:space="preserve"> </w:t>
      </w:r>
      <w:r w:rsidRPr="007B0EEC">
        <w:rPr>
          <w:bCs/>
          <w:kern w:val="32"/>
        </w:rPr>
        <w:t>Standard.</w:t>
      </w:r>
      <w:r>
        <w:rPr>
          <w:bCs/>
          <w:kern w:val="32"/>
        </w:rPr>
        <w:t xml:space="preserve"> </w:t>
      </w:r>
    </w:p>
    <w:p w14:paraId="69841DE0" w14:textId="140E1990" w:rsidR="00CB7716" w:rsidRPr="003E685B" w:rsidRDefault="00CB7716" w:rsidP="00370FB8">
      <w:pPr>
        <w:spacing w:before="240" w:after="240"/>
        <w:rPr>
          <w:bCs/>
          <w:kern w:val="32"/>
        </w:rPr>
      </w:pPr>
      <w:r w:rsidRPr="003E685B">
        <w:rPr>
          <w:b/>
          <w:bCs/>
          <w:i/>
          <w:kern w:val="32"/>
        </w:rPr>
        <w:t>Category one business</w:t>
      </w:r>
      <w:r w:rsidRPr="003E685B">
        <w:rPr>
          <w:bCs/>
          <w:kern w:val="32"/>
        </w:rPr>
        <w:t xml:space="preserve"> and </w:t>
      </w:r>
      <w:r w:rsidRPr="003E685B">
        <w:rPr>
          <w:b/>
          <w:bCs/>
          <w:i/>
          <w:kern w:val="32"/>
        </w:rPr>
        <w:t>category two business</w:t>
      </w:r>
      <w:r w:rsidRPr="003E685B">
        <w:rPr>
          <w:bCs/>
          <w:kern w:val="32"/>
        </w:rPr>
        <w:t xml:space="preserve"> are defined in sections 3.2.2A—6 and 3.2.2A—7 </w:t>
      </w:r>
      <w:r>
        <w:rPr>
          <w:bCs/>
          <w:kern w:val="32"/>
        </w:rPr>
        <w:t xml:space="preserve">respectively </w:t>
      </w:r>
      <w:r w:rsidRPr="003E685B">
        <w:rPr>
          <w:bCs/>
          <w:kern w:val="32"/>
        </w:rPr>
        <w:t>(see below).</w:t>
      </w:r>
    </w:p>
    <w:p w14:paraId="0C7B1BC8" w14:textId="77777777" w:rsidR="00CB7716" w:rsidRDefault="00CB7716" w:rsidP="00574F1C">
      <w:pPr>
        <w:pStyle w:val="FSCtDefn"/>
        <w:spacing w:before="240" w:after="240"/>
        <w:ind w:left="0"/>
        <w:rPr>
          <w:sz w:val="22"/>
        </w:rPr>
      </w:pPr>
      <w:r w:rsidRPr="00D97447">
        <w:rPr>
          <w:b/>
          <w:i/>
          <w:sz w:val="22"/>
        </w:rPr>
        <w:t>Food safety supervisor</w:t>
      </w:r>
      <w:r>
        <w:rPr>
          <w:i/>
          <w:sz w:val="22"/>
        </w:rPr>
        <w:t xml:space="preserve"> </w:t>
      </w:r>
      <w:r>
        <w:rPr>
          <w:sz w:val="22"/>
        </w:rPr>
        <w:t xml:space="preserve">means </w:t>
      </w:r>
      <w:r w:rsidRPr="00292345">
        <w:rPr>
          <w:sz w:val="22"/>
        </w:rPr>
        <w:t xml:space="preserve">a person who holds a </w:t>
      </w:r>
      <w:r>
        <w:rPr>
          <w:sz w:val="22"/>
        </w:rPr>
        <w:t>‘</w:t>
      </w:r>
      <w:r w:rsidRPr="00292345">
        <w:rPr>
          <w:sz w:val="22"/>
        </w:rPr>
        <w:t>food safety supervisor</w:t>
      </w:r>
      <w:r>
        <w:rPr>
          <w:sz w:val="22"/>
        </w:rPr>
        <w:t xml:space="preserve"> </w:t>
      </w:r>
      <w:r w:rsidRPr="00292345">
        <w:rPr>
          <w:sz w:val="22"/>
        </w:rPr>
        <w:t>certificate</w:t>
      </w:r>
      <w:r>
        <w:rPr>
          <w:sz w:val="22"/>
        </w:rPr>
        <w:t>’ (see below),</w:t>
      </w:r>
      <w:r w:rsidRPr="00292345">
        <w:rPr>
          <w:sz w:val="22"/>
        </w:rPr>
        <w:t xml:space="preserve"> </w:t>
      </w:r>
      <w:r>
        <w:rPr>
          <w:sz w:val="22"/>
        </w:rPr>
        <w:t xml:space="preserve">issued within the immediately preceding period of five years; </w:t>
      </w:r>
      <w:r w:rsidRPr="00292345">
        <w:rPr>
          <w:sz w:val="22"/>
        </w:rPr>
        <w:t xml:space="preserve">and </w:t>
      </w:r>
      <w:r>
        <w:rPr>
          <w:sz w:val="22"/>
        </w:rPr>
        <w:t xml:space="preserve">who </w:t>
      </w:r>
      <w:r w:rsidRPr="00292345">
        <w:rPr>
          <w:sz w:val="22"/>
        </w:rPr>
        <w:t>has the authority and ability to manage and give direction on the safe handling of food.</w:t>
      </w:r>
      <w:r>
        <w:rPr>
          <w:sz w:val="22"/>
        </w:rPr>
        <w:t xml:space="preserve"> </w:t>
      </w:r>
    </w:p>
    <w:p w14:paraId="69E56F5E" w14:textId="77777777" w:rsidR="00CB7716" w:rsidRDefault="00CB7716" w:rsidP="00574F1C">
      <w:pPr>
        <w:pStyle w:val="FSCtDefn"/>
        <w:spacing w:before="240" w:after="240"/>
        <w:ind w:left="0"/>
        <w:rPr>
          <w:b/>
          <w:sz w:val="22"/>
        </w:rPr>
      </w:pPr>
      <w:r>
        <w:rPr>
          <w:sz w:val="22"/>
        </w:rPr>
        <w:lastRenderedPageBreak/>
        <w:t>‘Handling’ is defined in clause 2 of Standard 3.1.1 (see below).</w:t>
      </w:r>
    </w:p>
    <w:p w14:paraId="21EE4D54" w14:textId="053C0D84" w:rsidR="00CB7716" w:rsidRDefault="00CB7716" w:rsidP="00574F1C">
      <w:pPr>
        <w:pStyle w:val="FSCtDefn"/>
        <w:spacing w:before="240" w:after="240"/>
        <w:ind w:left="0"/>
        <w:rPr>
          <w:sz w:val="22"/>
        </w:rPr>
      </w:pPr>
      <w:r w:rsidRPr="00A75D2E">
        <w:rPr>
          <w:b/>
          <w:i/>
          <w:sz w:val="22"/>
        </w:rPr>
        <w:t>Food safety supervisor certificate</w:t>
      </w:r>
      <w:r w:rsidRPr="00A75D2E">
        <w:rPr>
          <w:i/>
          <w:sz w:val="24"/>
        </w:rPr>
        <w:t xml:space="preserve"> </w:t>
      </w:r>
      <w:r>
        <w:rPr>
          <w:sz w:val="22"/>
        </w:rPr>
        <w:t xml:space="preserve">means </w:t>
      </w:r>
      <w:r w:rsidRPr="003E685B">
        <w:rPr>
          <w:sz w:val="22"/>
        </w:rPr>
        <w:t>certification as a food safety supervisor</w:t>
      </w:r>
      <w:r>
        <w:rPr>
          <w:sz w:val="22"/>
        </w:rPr>
        <w:t xml:space="preserve"> (see above)</w:t>
      </w:r>
      <w:r w:rsidRPr="003E685B">
        <w:rPr>
          <w:sz w:val="22"/>
        </w:rPr>
        <w:t xml:space="preserve"> by either a registered training organisation; or an </w:t>
      </w:r>
      <w:r w:rsidRPr="00FD5BA5">
        <w:rPr>
          <w:sz w:val="22"/>
        </w:rPr>
        <w:t xml:space="preserve">organisation recognised by the </w:t>
      </w:r>
      <w:r w:rsidRPr="003E685B">
        <w:rPr>
          <w:sz w:val="22"/>
        </w:rPr>
        <w:t>relevant authority under the application Act</w:t>
      </w:r>
      <w:r>
        <w:rPr>
          <w:sz w:val="22"/>
        </w:rPr>
        <w:t xml:space="preserve">. </w:t>
      </w:r>
    </w:p>
    <w:p w14:paraId="4E1963BC" w14:textId="77777777" w:rsidR="00CB7716" w:rsidRPr="00292345" w:rsidRDefault="00CB7716" w:rsidP="00574F1C">
      <w:pPr>
        <w:pStyle w:val="FSCtDefn"/>
        <w:spacing w:before="240" w:after="240"/>
        <w:ind w:left="0"/>
        <w:rPr>
          <w:sz w:val="22"/>
        </w:rPr>
      </w:pPr>
      <w:r>
        <w:rPr>
          <w:sz w:val="22"/>
        </w:rPr>
        <w:t>‘Relevant authority’ and ‘application Act’ are defined in section 1.1.2 of the Code (see below).</w:t>
      </w:r>
      <w:r w:rsidRPr="00553B18" w:rsidDel="004D0187">
        <w:rPr>
          <w:b/>
          <w:i/>
          <w:sz w:val="22"/>
        </w:rPr>
        <w:t xml:space="preserve"> </w:t>
      </w:r>
    </w:p>
    <w:p w14:paraId="3F14036E" w14:textId="466247D4" w:rsidR="00CB7716" w:rsidRPr="003E685B" w:rsidRDefault="00CB7716" w:rsidP="00574F1C">
      <w:pPr>
        <w:pStyle w:val="FSCtDefn"/>
        <w:spacing w:before="240" w:after="240"/>
        <w:ind w:left="0"/>
        <w:rPr>
          <w:sz w:val="22"/>
        </w:rPr>
      </w:pPr>
      <w:r w:rsidRPr="003E685B">
        <w:rPr>
          <w:b/>
          <w:i/>
          <w:sz w:val="22"/>
        </w:rPr>
        <w:t>Food safety training course</w:t>
      </w:r>
      <w:r w:rsidRPr="003E685B">
        <w:rPr>
          <w:sz w:val="22"/>
        </w:rPr>
        <w:t xml:space="preserve"> means training in food safety that includes training in each of the following</w:t>
      </w:r>
      <w:r w:rsidR="00025CDA">
        <w:rPr>
          <w:sz w:val="22"/>
        </w:rPr>
        <w:t>:</w:t>
      </w:r>
    </w:p>
    <w:p w14:paraId="7DD46E85" w14:textId="77777777" w:rsidR="00CB7716" w:rsidRPr="00605234" w:rsidRDefault="00CB7716" w:rsidP="00370FB8">
      <w:pPr>
        <w:pStyle w:val="ListParagraph"/>
        <w:numPr>
          <w:ilvl w:val="0"/>
          <w:numId w:val="51"/>
        </w:numPr>
        <w:spacing w:after="240"/>
        <w:rPr>
          <w:bCs/>
        </w:rPr>
      </w:pPr>
      <w:r w:rsidRPr="00605234">
        <w:rPr>
          <w:bCs/>
        </w:rPr>
        <w:t>safe handling of food; and</w:t>
      </w:r>
    </w:p>
    <w:p w14:paraId="59A0E32B" w14:textId="77777777" w:rsidR="00CB7716" w:rsidRPr="00605234" w:rsidRDefault="00CB7716" w:rsidP="00370FB8">
      <w:pPr>
        <w:pStyle w:val="ListParagraph"/>
        <w:numPr>
          <w:ilvl w:val="0"/>
          <w:numId w:val="51"/>
        </w:numPr>
        <w:spacing w:after="240"/>
        <w:rPr>
          <w:bCs/>
        </w:rPr>
      </w:pPr>
      <w:r w:rsidRPr="00605234">
        <w:rPr>
          <w:bCs/>
        </w:rPr>
        <w:t>food contamination; and</w:t>
      </w:r>
    </w:p>
    <w:p w14:paraId="0C37D665" w14:textId="77777777" w:rsidR="00CB7716" w:rsidRPr="00605234" w:rsidRDefault="00CB7716" w:rsidP="00370FB8">
      <w:pPr>
        <w:pStyle w:val="ListParagraph"/>
        <w:numPr>
          <w:ilvl w:val="0"/>
          <w:numId w:val="51"/>
        </w:numPr>
        <w:spacing w:after="240"/>
        <w:rPr>
          <w:bCs/>
        </w:rPr>
      </w:pPr>
      <w:r w:rsidRPr="00605234">
        <w:rPr>
          <w:bCs/>
        </w:rPr>
        <w:t>cleaning and sanitising of food premises and equipment; and</w:t>
      </w:r>
    </w:p>
    <w:p w14:paraId="55289823" w14:textId="77777777" w:rsidR="00CB7716" w:rsidRPr="00605234" w:rsidRDefault="00CB7716" w:rsidP="00370FB8">
      <w:pPr>
        <w:pStyle w:val="ListParagraph"/>
        <w:numPr>
          <w:ilvl w:val="0"/>
          <w:numId w:val="51"/>
        </w:numPr>
        <w:spacing w:after="240"/>
        <w:rPr>
          <w:bCs/>
        </w:rPr>
      </w:pPr>
      <w:r w:rsidRPr="00605234">
        <w:rPr>
          <w:bCs/>
        </w:rPr>
        <w:t xml:space="preserve">personal hygiene. </w:t>
      </w:r>
    </w:p>
    <w:p w14:paraId="11616071" w14:textId="77777777" w:rsidR="00CB7716" w:rsidRDefault="00CB7716" w:rsidP="00574F1C">
      <w:pPr>
        <w:spacing w:before="240" w:after="240"/>
        <w:rPr>
          <w:b/>
          <w:i/>
        </w:rPr>
      </w:pPr>
      <w:r>
        <w:t>‘Food premises’ and ‘handling’ are defined in clause 2 of Standard 3.1.1 (see below).</w:t>
      </w:r>
    </w:p>
    <w:p w14:paraId="5FBD8DD7" w14:textId="77777777" w:rsidR="00CB7716" w:rsidRDefault="00CB7716" w:rsidP="00574F1C">
      <w:pPr>
        <w:spacing w:before="240" w:after="240"/>
      </w:pPr>
      <w:r w:rsidRPr="3C0957AF">
        <w:rPr>
          <w:b/>
          <w:bCs/>
          <w:i/>
          <w:iCs/>
        </w:rPr>
        <w:t>Potentially hazardous food</w:t>
      </w:r>
      <w:r>
        <w:t xml:space="preserve"> means food that </w:t>
      </w:r>
      <w:bookmarkStart w:id="194" w:name="_Int_E8w7O3nx"/>
      <w:r>
        <w:t>has to</w:t>
      </w:r>
      <w:bookmarkEnd w:id="194"/>
      <w:r>
        <w:t xml:space="preserve"> be kept at certain temperatures to either:</w:t>
      </w:r>
    </w:p>
    <w:p w14:paraId="05F75331" w14:textId="77777777" w:rsidR="00CB7716" w:rsidRDefault="00CB7716" w:rsidP="00370FB8">
      <w:pPr>
        <w:pStyle w:val="ListParagraph"/>
        <w:numPr>
          <w:ilvl w:val="0"/>
          <w:numId w:val="43"/>
        </w:numPr>
        <w:spacing w:before="240" w:after="240"/>
      </w:pPr>
      <w:r>
        <w:t>minimise the growth of any pathogenic microorganisms that may be present in the food; or</w:t>
      </w:r>
    </w:p>
    <w:p w14:paraId="7C3F295B" w14:textId="77777777" w:rsidR="00CB7716" w:rsidRDefault="00CB7716" w:rsidP="00370FB8">
      <w:pPr>
        <w:pStyle w:val="ListParagraph"/>
        <w:numPr>
          <w:ilvl w:val="0"/>
          <w:numId w:val="43"/>
        </w:numPr>
        <w:spacing w:before="240" w:after="240"/>
      </w:pPr>
      <w:r>
        <w:t>prevent the formation of toxins in the food.</w:t>
      </w:r>
    </w:p>
    <w:p w14:paraId="1E228EDB" w14:textId="77777777" w:rsidR="00CB7716" w:rsidRDefault="00CB7716" w:rsidP="00574F1C">
      <w:pPr>
        <w:spacing w:before="240" w:after="240"/>
      </w:pPr>
      <w:r>
        <w:t>This definition of</w:t>
      </w:r>
      <w:r w:rsidRPr="00EA47D0">
        <w:t xml:space="preserve"> </w:t>
      </w:r>
      <w:r>
        <w:t>‘</w:t>
      </w:r>
      <w:r w:rsidRPr="007B26C7">
        <w:t>potentially hazardous food</w:t>
      </w:r>
      <w:r>
        <w:t>’</w:t>
      </w:r>
      <w:r w:rsidRPr="009F7609">
        <w:rPr>
          <w:b/>
        </w:rPr>
        <w:t xml:space="preserve"> </w:t>
      </w:r>
      <w:r>
        <w:t>is consistent with the definition of that term provided in</w:t>
      </w:r>
      <w:r w:rsidRPr="00ED5D65">
        <w:t xml:space="preserve"> Standard 3.2.2. </w:t>
      </w:r>
    </w:p>
    <w:p w14:paraId="2ECF38B5" w14:textId="2B1E0950" w:rsidR="00CB7716" w:rsidRDefault="00CB7716" w:rsidP="00574F1C">
      <w:pPr>
        <w:spacing w:before="240" w:after="240"/>
      </w:pPr>
      <w:r>
        <w:rPr>
          <w:b/>
          <w:i/>
        </w:rPr>
        <w:t xml:space="preserve">Prescribed activity </w:t>
      </w:r>
      <w:r>
        <w:t>is defined in section 3.2.2A—5 (see below).</w:t>
      </w:r>
    </w:p>
    <w:p w14:paraId="5EBF46BA" w14:textId="77777777" w:rsidR="00CB7716" w:rsidRDefault="00CB7716" w:rsidP="00574F1C">
      <w:pPr>
        <w:spacing w:before="240" w:after="240"/>
      </w:pPr>
      <w:r w:rsidRPr="00AD503A">
        <w:rPr>
          <w:b/>
          <w:i/>
        </w:rPr>
        <w:t>Process</w:t>
      </w:r>
      <w:r>
        <w:t xml:space="preserve">, </w:t>
      </w:r>
      <w:r w:rsidRPr="00AD503A">
        <w:t>in relation to food, means activity conducted to prepare food for sale and includes</w:t>
      </w:r>
      <w:r>
        <w:t xml:space="preserve"> (but is not limited to)</w:t>
      </w:r>
      <w:r w:rsidRPr="00AD503A">
        <w:t xml:space="preserve"> chopping, cooking, drying, fermenting, heating, thawing and washing, or a combination of these activities</w:t>
      </w:r>
      <w:r>
        <w:t>.</w:t>
      </w:r>
      <w:r w:rsidRPr="00AD503A">
        <w:t xml:space="preserve"> </w:t>
      </w:r>
    </w:p>
    <w:p w14:paraId="6B0938A4" w14:textId="77777777" w:rsidR="00CB7716" w:rsidRDefault="00CB7716" w:rsidP="00574F1C">
      <w:pPr>
        <w:spacing w:before="240" w:after="240"/>
      </w:pPr>
      <w:r>
        <w:t xml:space="preserve">This definition of ‘process’ is </w:t>
      </w:r>
      <w:bookmarkStart w:id="195" w:name="_Int_Wqrhvvgv"/>
      <w:r>
        <w:t>similar to</w:t>
      </w:r>
      <w:bookmarkEnd w:id="195"/>
      <w:r>
        <w:t xml:space="preserve"> the definition of that term provided in Standard 3.2.2. </w:t>
      </w:r>
    </w:p>
    <w:p w14:paraId="5BCEDB12" w14:textId="77777777" w:rsidR="00CB7716" w:rsidRDefault="00CB7716" w:rsidP="00574F1C">
      <w:pPr>
        <w:spacing w:before="240" w:after="240"/>
      </w:pPr>
      <w:r>
        <w:rPr>
          <w:b/>
          <w:i/>
        </w:rPr>
        <w:t xml:space="preserve">Ready–to-eat </w:t>
      </w:r>
      <w:r w:rsidRPr="003E685B">
        <w:t>food</w:t>
      </w:r>
      <w:r>
        <w:t xml:space="preserve"> means food that is ordinarily consumed in the same state as that in which it is sold, but does not include:</w:t>
      </w:r>
    </w:p>
    <w:p w14:paraId="29B7262B" w14:textId="77777777" w:rsidR="00CB7716" w:rsidRDefault="00CB7716" w:rsidP="00370FB8">
      <w:pPr>
        <w:pStyle w:val="ListParagraph"/>
        <w:numPr>
          <w:ilvl w:val="0"/>
          <w:numId w:val="44"/>
        </w:numPr>
        <w:spacing w:before="240" w:after="240"/>
      </w:pPr>
      <w:r>
        <w:t>nuts in the shell; or</w:t>
      </w:r>
    </w:p>
    <w:p w14:paraId="72401749" w14:textId="77777777" w:rsidR="00CB7716" w:rsidRDefault="00CB7716" w:rsidP="00370FB8">
      <w:pPr>
        <w:pStyle w:val="ListParagraph"/>
        <w:numPr>
          <w:ilvl w:val="0"/>
          <w:numId w:val="44"/>
        </w:numPr>
        <w:spacing w:before="240" w:after="240"/>
      </w:pPr>
      <w:r>
        <w:t>whole, raw fruits; or</w:t>
      </w:r>
    </w:p>
    <w:p w14:paraId="1FCA394B" w14:textId="77777777" w:rsidR="00CB7716" w:rsidRDefault="00CB7716" w:rsidP="00370FB8">
      <w:pPr>
        <w:pStyle w:val="ListParagraph"/>
        <w:numPr>
          <w:ilvl w:val="0"/>
          <w:numId w:val="44"/>
        </w:numPr>
        <w:spacing w:before="240" w:after="240"/>
      </w:pPr>
      <w:r>
        <w:t>vegetables that are intended for hulling, peeling or washing by the consumer.</w:t>
      </w:r>
    </w:p>
    <w:p w14:paraId="2C04A9C5" w14:textId="77777777" w:rsidR="00CB7716" w:rsidRPr="00085BE9" w:rsidRDefault="00CB7716" w:rsidP="00574F1C">
      <w:pPr>
        <w:spacing w:before="240" w:after="240"/>
      </w:pPr>
      <w:r w:rsidRPr="00E9314F">
        <w:t>Th</w:t>
      </w:r>
      <w:r>
        <w:t>is</w:t>
      </w:r>
      <w:r w:rsidRPr="00085BE9">
        <w:t xml:space="preserve"> definition </w:t>
      </w:r>
      <w:r>
        <w:t>of</w:t>
      </w:r>
      <w:r w:rsidRPr="00085BE9">
        <w:t xml:space="preserve"> </w:t>
      </w:r>
      <w:r>
        <w:t>‘</w:t>
      </w:r>
      <w:r w:rsidRPr="007B26C7">
        <w:t>ready-to-eat food</w:t>
      </w:r>
      <w:r>
        <w:t>’</w:t>
      </w:r>
      <w:r w:rsidRPr="00085BE9">
        <w:t xml:space="preserve"> </w:t>
      </w:r>
      <w:r>
        <w:t>is consistent with the definition of that term provided in</w:t>
      </w:r>
      <w:r w:rsidRPr="00ED5D65">
        <w:t xml:space="preserve"> Standard 3.2.2</w:t>
      </w:r>
      <w:r>
        <w:t>.</w:t>
      </w:r>
      <w:r w:rsidRPr="00085BE9">
        <w:t xml:space="preserve"> </w:t>
      </w:r>
    </w:p>
    <w:p w14:paraId="49F1B4E5" w14:textId="62C39DAC" w:rsidR="00CB7716" w:rsidRDefault="006813E9" w:rsidP="00370FB8">
      <w:pPr>
        <w:spacing w:before="240" w:after="240"/>
      </w:pPr>
      <w:r>
        <w:t>N</w:t>
      </w:r>
      <w:r w:rsidR="00253DA3">
        <w:t xml:space="preserve">otes 1 and 2 in </w:t>
      </w:r>
      <w:r w:rsidR="00CB7716">
        <w:t xml:space="preserve">section </w:t>
      </w:r>
      <w:r w:rsidR="00CB7716" w:rsidRPr="6A61D147">
        <w:rPr>
          <w:kern w:val="32"/>
        </w:rPr>
        <w:t>3.2.2A—2</w:t>
      </w:r>
      <w:r w:rsidR="00253DA3" w:rsidRPr="00253DA3">
        <w:t xml:space="preserve"> </w:t>
      </w:r>
      <w:r w:rsidR="00253DA3">
        <w:t>signpost relevant definitions contained in other parts of the Code</w:t>
      </w:r>
      <w:r w:rsidR="00CB7716">
        <w:t xml:space="preserve">. </w:t>
      </w:r>
      <w:r w:rsidR="00253DA3">
        <w:t xml:space="preserve">Note 1 </w:t>
      </w:r>
      <w:r w:rsidR="00253DA3" w:rsidRPr="00520E7B">
        <w:t>refers readers to the definition</w:t>
      </w:r>
      <w:r w:rsidR="00253DA3">
        <w:t>s</w:t>
      </w:r>
      <w:r w:rsidR="00253DA3" w:rsidRPr="00520E7B">
        <w:t xml:space="preserve"> of</w:t>
      </w:r>
      <w:r w:rsidR="00253DA3">
        <w:t xml:space="preserve"> </w:t>
      </w:r>
      <w:r w:rsidR="00253DA3" w:rsidRPr="6A61D147">
        <w:rPr>
          <w:i/>
          <w:iCs/>
        </w:rPr>
        <w:t xml:space="preserve">application Act, authorised officer, caterer, fund raising event, jurisdiction </w:t>
      </w:r>
      <w:r w:rsidR="00253DA3" w:rsidRPr="00253DA3">
        <w:t>and</w:t>
      </w:r>
      <w:r w:rsidR="00253DA3" w:rsidRPr="6A61D147">
        <w:rPr>
          <w:i/>
          <w:iCs/>
        </w:rPr>
        <w:t xml:space="preserve"> relevant authority </w:t>
      </w:r>
      <w:r w:rsidR="00253DA3" w:rsidRPr="00370FB8">
        <w:t xml:space="preserve">in </w:t>
      </w:r>
      <w:r w:rsidR="00253DA3">
        <w:t xml:space="preserve">section 1.1.2—2 of the Code. Note 2 refers readers to the definitions of </w:t>
      </w:r>
      <w:r w:rsidR="00253DA3" w:rsidRPr="6A61D147">
        <w:rPr>
          <w:i/>
          <w:iCs/>
        </w:rPr>
        <w:t>food business</w:t>
      </w:r>
      <w:r w:rsidR="00253DA3" w:rsidRPr="00253DA3">
        <w:t xml:space="preserve">, </w:t>
      </w:r>
      <w:r w:rsidR="00253DA3" w:rsidRPr="6A61D147">
        <w:rPr>
          <w:i/>
          <w:iCs/>
        </w:rPr>
        <w:t>food premises</w:t>
      </w:r>
      <w:r w:rsidR="00253DA3" w:rsidRPr="00253DA3">
        <w:t xml:space="preserve"> and </w:t>
      </w:r>
      <w:r w:rsidR="00253DA3" w:rsidRPr="6A61D147">
        <w:rPr>
          <w:i/>
          <w:iCs/>
        </w:rPr>
        <w:t>handling</w:t>
      </w:r>
      <w:r w:rsidR="00253DA3">
        <w:t xml:space="preserve"> in clause 2 of  Standard 3.1.1.</w:t>
      </w:r>
    </w:p>
    <w:p w14:paraId="405A77A9" w14:textId="7E3A2E48" w:rsidR="00CB7716" w:rsidRDefault="00CB7716" w:rsidP="00370FB8">
      <w:pPr>
        <w:spacing w:after="240"/>
        <w:rPr>
          <w:b/>
          <w:bCs/>
          <w:kern w:val="32"/>
        </w:rPr>
      </w:pPr>
      <w:r>
        <w:rPr>
          <w:b/>
          <w:bCs/>
          <w:kern w:val="32"/>
        </w:rPr>
        <w:t>Section 3.2.2A—3</w:t>
      </w:r>
      <w:r w:rsidR="007473BD">
        <w:rPr>
          <w:b/>
          <w:bCs/>
          <w:kern w:val="32"/>
        </w:rPr>
        <w:t xml:space="preserve">: </w:t>
      </w:r>
      <w:r w:rsidR="00253DA3" w:rsidRPr="6A61D147">
        <w:rPr>
          <w:kern w:val="32"/>
        </w:rPr>
        <w:t>This provision deals with</w:t>
      </w:r>
      <w:r w:rsidRPr="6A61D147">
        <w:rPr>
          <w:kern w:val="32"/>
        </w:rPr>
        <w:t xml:space="preserve"> application of </w:t>
      </w:r>
      <w:r w:rsidR="00253DA3" w:rsidRPr="6A61D147">
        <w:rPr>
          <w:kern w:val="32"/>
        </w:rPr>
        <w:t>the</w:t>
      </w:r>
      <w:r w:rsidRPr="003E685B">
        <w:rPr>
          <w:bCs/>
          <w:kern w:val="32"/>
        </w:rPr>
        <w:t xml:space="preserve"> </w:t>
      </w:r>
      <w:r w:rsidRPr="6A61D147">
        <w:rPr>
          <w:kern w:val="32"/>
        </w:rPr>
        <w:t>Standard.</w:t>
      </w:r>
      <w:r>
        <w:rPr>
          <w:b/>
          <w:bCs/>
          <w:kern w:val="32"/>
        </w:rPr>
        <w:t xml:space="preserve"> </w:t>
      </w:r>
    </w:p>
    <w:p w14:paraId="02BFA79B" w14:textId="32099062" w:rsidR="00253DA3" w:rsidRDefault="00253DA3" w:rsidP="00370FB8">
      <w:pPr>
        <w:spacing w:after="240"/>
      </w:pPr>
      <w:r w:rsidRPr="6A61D147">
        <w:rPr>
          <w:rFonts w:eastAsia="Calibri" w:cs="Arial"/>
          <w:lang w:bidi="ar-SA"/>
        </w:rPr>
        <w:lastRenderedPageBreak/>
        <w:t xml:space="preserve">Subsection (1) provides that the Standard </w:t>
      </w:r>
      <w:r w:rsidR="00CB7716" w:rsidRPr="6A61D147">
        <w:rPr>
          <w:kern w:val="32"/>
        </w:rPr>
        <w:t>applies to category one and category t</w:t>
      </w:r>
      <w:r w:rsidR="00A75D2E">
        <w:rPr>
          <w:kern w:val="32"/>
        </w:rPr>
        <w:t>wo food businesses in Australia.</w:t>
      </w:r>
      <w:r w:rsidR="00CB7716" w:rsidRPr="6A61D147">
        <w:rPr>
          <w:kern w:val="32"/>
        </w:rPr>
        <w:t xml:space="preserve"> </w:t>
      </w:r>
    </w:p>
    <w:p w14:paraId="69AD5A38" w14:textId="4559242D" w:rsidR="00CB7716" w:rsidRDefault="00253DA3" w:rsidP="00370FB8">
      <w:pPr>
        <w:spacing w:after="240"/>
      </w:pPr>
      <w:r w:rsidRPr="6A61D147">
        <w:rPr>
          <w:rFonts w:eastAsia="Calibri" w:cs="Arial"/>
          <w:lang w:bidi="ar-SA"/>
        </w:rPr>
        <w:t xml:space="preserve">Subsection (2) provides that the Standard does </w:t>
      </w:r>
      <w:r w:rsidR="00CB7716" w:rsidRPr="6A61D147">
        <w:rPr>
          <w:kern w:val="32"/>
        </w:rPr>
        <w:t xml:space="preserve">not apply to the handling of food for or at a fund raising event. </w:t>
      </w:r>
    </w:p>
    <w:p w14:paraId="3A6B0FA7" w14:textId="602110E7" w:rsidR="00CB7716" w:rsidRDefault="00CB7716" w:rsidP="00370FB8">
      <w:pPr>
        <w:spacing w:after="240"/>
      </w:pPr>
      <w:r>
        <w:rPr>
          <w:bCs/>
          <w:kern w:val="32"/>
        </w:rPr>
        <w:t>‘</w:t>
      </w:r>
      <w:r w:rsidRPr="00AD648F">
        <w:t>Category one food business</w:t>
      </w:r>
      <w:r>
        <w:t>’</w:t>
      </w:r>
      <w:r w:rsidRPr="00AD648F">
        <w:t xml:space="preserve"> and </w:t>
      </w:r>
      <w:r>
        <w:t>‘c</w:t>
      </w:r>
      <w:r w:rsidRPr="00AD648F">
        <w:t>ategory two food business</w:t>
      </w:r>
      <w:r>
        <w:t>’</w:t>
      </w:r>
      <w:r w:rsidRPr="00AD648F">
        <w:t xml:space="preserve"> </w:t>
      </w:r>
      <w:r>
        <w:t>are</w:t>
      </w:r>
      <w:r w:rsidRPr="00AD648F">
        <w:t xml:space="preserve"> described in </w:t>
      </w:r>
      <w:r>
        <w:t xml:space="preserve">sections </w:t>
      </w:r>
      <w:r w:rsidRPr="00AD648F">
        <w:t xml:space="preserve">3.2.2A—6 </w:t>
      </w:r>
      <w:r>
        <w:t xml:space="preserve">and </w:t>
      </w:r>
      <w:r w:rsidRPr="00AD648F">
        <w:t>3.2.2A—7</w:t>
      </w:r>
      <w:r>
        <w:t xml:space="preserve"> respectively (see below)</w:t>
      </w:r>
      <w:r w:rsidRPr="00AD648F">
        <w:t>.</w:t>
      </w:r>
      <w:r>
        <w:t xml:space="preserve"> </w:t>
      </w:r>
      <w:r>
        <w:rPr>
          <w:bCs/>
          <w:kern w:val="32"/>
        </w:rPr>
        <w:t>‘Fund raising event’ is defined in section 1.1.2—2 of the Code.</w:t>
      </w:r>
      <w:r>
        <w:t xml:space="preserve"> ‘Handling’ is defined in clause 2 of Standard 3.1.1.</w:t>
      </w:r>
    </w:p>
    <w:p w14:paraId="3844566E" w14:textId="075EDF88" w:rsidR="00CB7716" w:rsidRDefault="00CB7716" w:rsidP="00370FB8">
      <w:pPr>
        <w:spacing w:after="240"/>
        <w:rPr>
          <w:b/>
          <w:bCs/>
        </w:rPr>
      </w:pPr>
      <w:r>
        <w:rPr>
          <w:b/>
          <w:bCs/>
        </w:rPr>
        <w:t>Section</w:t>
      </w:r>
      <w:r w:rsidRPr="000A19FD">
        <w:rPr>
          <w:bCs/>
        </w:rPr>
        <w:t xml:space="preserve"> </w:t>
      </w:r>
      <w:r w:rsidRPr="00E03E6A">
        <w:rPr>
          <w:b/>
          <w:bCs/>
        </w:rPr>
        <w:t>3.2.2A—4</w:t>
      </w:r>
      <w:r w:rsidR="007473BD">
        <w:rPr>
          <w:b/>
          <w:bCs/>
        </w:rPr>
        <w:t>:</w:t>
      </w:r>
      <w:r>
        <w:rPr>
          <w:b/>
          <w:bCs/>
        </w:rPr>
        <w:t xml:space="preserve"> </w:t>
      </w:r>
      <w:r w:rsidR="007473BD">
        <w:rPr>
          <w:rFonts w:eastAsia="Calibri" w:cs="Arial"/>
          <w:szCs w:val="22"/>
          <w:lang w:bidi="ar-SA"/>
        </w:rPr>
        <w:t xml:space="preserve">This provision </w:t>
      </w:r>
      <w:r>
        <w:rPr>
          <w:bCs/>
        </w:rPr>
        <w:t>sets out what constitutes</w:t>
      </w:r>
      <w:r w:rsidRPr="003E685B">
        <w:rPr>
          <w:bCs/>
        </w:rPr>
        <w:t xml:space="preserve"> </w:t>
      </w:r>
      <w:r>
        <w:rPr>
          <w:bCs/>
        </w:rPr>
        <w:t>‘</w:t>
      </w:r>
      <w:r w:rsidRPr="003E685B">
        <w:rPr>
          <w:bCs/>
        </w:rPr>
        <w:t>food service</w:t>
      </w:r>
      <w:r>
        <w:rPr>
          <w:bCs/>
        </w:rPr>
        <w:t xml:space="preserve">’ for the purposes of </w:t>
      </w:r>
      <w:r w:rsidR="007473BD">
        <w:rPr>
          <w:bCs/>
          <w:kern w:val="32"/>
        </w:rPr>
        <w:t>the</w:t>
      </w:r>
      <w:r w:rsidR="007473BD" w:rsidRPr="00D97447">
        <w:rPr>
          <w:bCs/>
          <w:kern w:val="32"/>
        </w:rPr>
        <w:t xml:space="preserve"> </w:t>
      </w:r>
      <w:r w:rsidRPr="00D97447">
        <w:rPr>
          <w:bCs/>
          <w:kern w:val="32"/>
        </w:rPr>
        <w:t>Standard</w:t>
      </w:r>
      <w:r w:rsidRPr="003E685B">
        <w:rPr>
          <w:bCs/>
        </w:rPr>
        <w:t>.</w:t>
      </w:r>
      <w:r>
        <w:rPr>
          <w:b/>
          <w:bCs/>
        </w:rPr>
        <w:t xml:space="preserve"> </w:t>
      </w:r>
    </w:p>
    <w:p w14:paraId="30B48EDB" w14:textId="779E3CF2" w:rsidR="00CB7716" w:rsidRDefault="007473BD" w:rsidP="00370FB8">
      <w:pPr>
        <w:spacing w:after="240"/>
      </w:pPr>
      <w:r>
        <w:rPr>
          <w:rFonts w:eastAsia="Calibri" w:cs="Arial"/>
          <w:szCs w:val="22"/>
          <w:lang w:bidi="ar-SA"/>
        </w:rPr>
        <w:t xml:space="preserve">Subsection </w:t>
      </w:r>
      <w:r w:rsidRPr="00041F71">
        <w:rPr>
          <w:rFonts w:eastAsia="Calibri" w:cs="Arial"/>
          <w:szCs w:val="22"/>
          <w:lang w:bidi="ar-SA"/>
        </w:rPr>
        <w:t>(1)</w:t>
      </w:r>
      <w:r>
        <w:rPr>
          <w:rFonts w:eastAsia="Calibri" w:cs="Arial"/>
          <w:szCs w:val="22"/>
          <w:lang w:bidi="ar-SA"/>
        </w:rPr>
        <w:t xml:space="preserve"> </w:t>
      </w:r>
      <w:r w:rsidR="00CB7716">
        <w:rPr>
          <w:bCs/>
        </w:rPr>
        <w:t xml:space="preserve">provides that ‘food service’, for the purposes of the </w:t>
      </w:r>
      <w:r w:rsidR="00CB7716" w:rsidRPr="00D97447">
        <w:rPr>
          <w:bCs/>
          <w:kern w:val="32"/>
        </w:rPr>
        <w:t>Standard</w:t>
      </w:r>
      <w:r w:rsidR="00CB7716">
        <w:rPr>
          <w:bCs/>
          <w:kern w:val="32"/>
        </w:rPr>
        <w:t>,</w:t>
      </w:r>
      <w:r w:rsidR="00CB7716">
        <w:rPr>
          <w:bCs/>
        </w:rPr>
        <w:t xml:space="preserve"> means</w:t>
      </w:r>
      <w:r w:rsidR="00CB7716" w:rsidRPr="008A2219">
        <w:t xml:space="preserve"> a food business</w:t>
      </w:r>
      <w:r w:rsidR="00CB7716">
        <w:t xml:space="preserve"> which processes and serves ready-to-eat food direct to a consumer, whether consumed at the food premises or elsewhere. </w:t>
      </w:r>
    </w:p>
    <w:p w14:paraId="19D939AF" w14:textId="1AB24C18" w:rsidR="00CB7716" w:rsidRDefault="00CB7716" w:rsidP="00370FB8">
      <w:pPr>
        <w:spacing w:after="240"/>
        <w:rPr>
          <w:bCs/>
        </w:rPr>
      </w:pPr>
      <w:r>
        <w:t>‘Process’ in relation to food and ‘ready-to-eat’ are defined in section 3.2.2A—2 (see above). ‘Food business’ and ‘food premises’ are defined in clause 2 of Standard 3</w:t>
      </w:r>
      <w:r w:rsidR="007473BD">
        <w:t>.3.1</w:t>
      </w:r>
      <w:r>
        <w:t>.</w:t>
      </w:r>
    </w:p>
    <w:p w14:paraId="3D86A50C" w14:textId="4C4058A9" w:rsidR="00CB7716" w:rsidRPr="00DF3DA2" w:rsidRDefault="007473BD" w:rsidP="00370FB8">
      <w:pPr>
        <w:spacing w:after="240"/>
      </w:pPr>
      <w:r>
        <w:rPr>
          <w:rFonts w:eastAsia="Calibri" w:cs="Arial"/>
          <w:szCs w:val="22"/>
          <w:lang w:bidi="ar-SA"/>
        </w:rPr>
        <w:t xml:space="preserve">Subsection </w:t>
      </w:r>
      <w:r w:rsidRPr="00041F71">
        <w:rPr>
          <w:rFonts w:eastAsia="Calibri" w:cs="Arial"/>
          <w:szCs w:val="22"/>
          <w:lang w:bidi="ar-SA"/>
        </w:rPr>
        <w:t>(</w:t>
      </w:r>
      <w:r w:rsidR="0050046D">
        <w:rPr>
          <w:rFonts w:eastAsia="Calibri" w:cs="Arial"/>
          <w:szCs w:val="22"/>
          <w:lang w:bidi="ar-SA"/>
        </w:rPr>
        <w:t>2</w:t>
      </w:r>
      <w:r w:rsidRPr="00041F71">
        <w:rPr>
          <w:rFonts w:eastAsia="Calibri" w:cs="Arial"/>
          <w:szCs w:val="22"/>
          <w:lang w:bidi="ar-SA"/>
        </w:rPr>
        <w:t>)</w:t>
      </w:r>
      <w:r>
        <w:rPr>
          <w:rFonts w:eastAsia="Calibri" w:cs="Arial"/>
          <w:szCs w:val="22"/>
          <w:lang w:bidi="ar-SA"/>
        </w:rPr>
        <w:t xml:space="preserve"> </w:t>
      </w:r>
      <w:r>
        <w:rPr>
          <w:bCs/>
        </w:rPr>
        <w:t>provides that</w:t>
      </w:r>
      <w:r w:rsidR="00CB7716" w:rsidRPr="00DF3DA2">
        <w:t xml:space="preserve">, for the purposes of subsection </w:t>
      </w:r>
      <w:r w:rsidR="00CB7716">
        <w:rPr>
          <w:bCs/>
        </w:rPr>
        <w:t>3.2.2A—4</w:t>
      </w:r>
      <w:r w:rsidR="00CB7716" w:rsidRPr="00DF3DA2">
        <w:t xml:space="preserve">(1), </w:t>
      </w:r>
      <w:r w:rsidR="00CB7716">
        <w:t>‘</w:t>
      </w:r>
      <w:r w:rsidR="00CB7716" w:rsidRPr="00571B34">
        <w:t>serve</w:t>
      </w:r>
      <w:r w:rsidR="00CB7716">
        <w:t>’</w:t>
      </w:r>
      <w:r w:rsidR="00CB7716" w:rsidRPr="00DF3DA2">
        <w:t xml:space="preserve"> means the act of setting out or presenting food to or for a person to eat that food</w:t>
      </w:r>
      <w:r w:rsidR="00CB7716">
        <w:t>;</w:t>
      </w:r>
      <w:r w:rsidR="00CB7716" w:rsidRPr="00DF3DA2">
        <w:t xml:space="preserve"> and includes the following activities:</w:t>
      </w:r>
    </w:p>
    <w:p w14:paraId="71769938" w14:textId="77777777" w:rsidR="00CB7716" w:rsidRPr="00DF3DA2" w:rsidRDefault="00CB7716" w:rsidP="00370FB8">
      <w:pPr>
        <w:pStyle w:val="ListParagraph"/>
        <w:numPr>
          <w:ilvl w:val="0"/>
          <w:numId w:val="45"/>
        </w:numPr>
        <w:spacing w:after="240"/>
      </w:pPr>
      <w:r w:rsidRPr="00DF3DA2">
        <w:t>portioning food from a bulk tray or container into single serves and placing it on plates; or</w:t>
      </w:r>
    </w:p>
    <w:p w14:paraId="6DE0EDB4" w14:textId="77777777" w:rsidR="00CB7716" w:rsidRPr="00BE604C" w:rsidRDefault="00CB7716" w:rsidP="00370FB8">
      <w:pPr>
        <w:pStyle w:val="ListParagraph"/>
        <w:numPr>
          <w:ilvl w:val="0"/>
          <w:numId w:val="45"/>
        </w:numPr>
        <w:spacing w:after="240"/>
      </w:pPr>
      <w:r w:rsidRPr="00BE604C">
        <w:t>presenting food in a bain-marie or other bulk food display unit for self</w:t>
      </w:r>
      <w:r w:rsidRPr="00BE604C">
        <w:noBreakHyphen/>
        <w:t>service; or</w:t>
      </w:r>
    </w:p>
    <w:p w14:paraId="690C160A" w14:textId="69034B0F" w:rsidR="00CB7716" w:rsidRPr="00DF3DA2" w:rsidRDefault="00CB7716" w:rsidP="00370FB8">
      <w:pPr>
        <w:pStyle w:val="ListParagraph"/>
        <w:numPr>
          <w:ilvl w:val="0"/>
          <w:numId w:val="45"/>
        </w:numPr>
        <w:spacing w:after="240"/>
      </w:pPr>
      <w:r>
        <w:t>delivery of plated food.</w:t>
      </w:r>
    </w:p>
    <w:p w14:paraId="621B450F" w14:textId="0725C0CC" w:rsidR="00CB7716" w:rsidRPr="00BE604C" w:rsidRDefault="00CB7716" w:rsidP="00370FB8">
      <w:pPr>
        <w:spacing w:after="240"/>
        <w:rPr>
          <w:bCs/>
        </w:rPr>
      </w:pPr>
      <w:r>
        <w:rPr>
          <w:b/>
          <w:bCs/>
        </w:rPr>
        <w:t>Section</w:t>
      </w:r>
      <w:r w:rsidRPr="000A19FD">
        <w:rPr>
          <w:bCs/>
        </w:rPr>
        <w:t xml:space="preserve"> </w:t>
      </w:r>
      <w:r w:rsidRPr="00E03E6A">
        <w:rPr>
          <w:b/>
          <w:bCs/>
        </w:rPr>
        <w:t>3.2.2A—</w:t>
      </w:r>
      <w:r>
        <w:rPr>
          <w:b/>
          <w:bCs/>
        </w:rPr>
        <w:t>5</w:t>
      </w:r>
      <w:r w:rsidR="007473BD">
        <w:rPr>
          <w:b/>
          <w:bCs/>
        </w:rPr>
        <w:t xml:space="preserve">: </w:t>
      </w:r>
      <w:r w:rsidR="007473BD" w:rsidRPr="00370FB8">
        <w:rPr>
          <w:bCs/>
        </w:rPr>
        <w:t>This provision</w:t>
      </w:r>
      <w:r w:rsidR="007473BD">
        <w:rPr>
          <w:b/>
          <w:bCs/>
        </w:rPr>
        <w:t xml:space="preserve"> </w:t>
      </w:r>
      <w:r>
        <w:t>provides that, f</w:t>
      </w:r>
      <w:r w:rsidRPr="00BE604C">
        <w:rPr>
          <w:bCs/>
        </w:rPr>
        <w:t xml:space="preserve">or the purposes of </w:t>
      </w:r>
      <w:r>
        <w:rPr>
          <w:bCs/>
        </w:rPr>
        <w:t xml:space="preserve">the </w:t>
      </w:r>
      <w:r w:rsidRPr="00BE604C">
        <w:rPr>
          <w:bCs/>
        </w:rPr>
        <w:t xml:space="preserve">Standard, a </w:t>
      </w:r>
      <w:r>
        <w:rPr>
          <w:bCs/>
        </w:rPr>
        <w:t>‘</w:t>
      </w:r>
      <w:r w:rsidRPr="00BE604C">
        <w:rPr>
          <w:bCs/>
        </w:rPr>
        <w:t>prescribed activity</w:t>
      </w:r>
      <w:r>
        <w:rPr>
          <w:bCs/>
        </w:rPr>
        <w:t>’</w:t>
      </w:r>
      <w:r w:rsidRPr="00BE604C">
        <w:rPr>
          <w:bCs/>
        </w:rPr>
        <w:t xml:space="preserve"> is the handling by the food business of any unpackaged potentially hazardous food</w:t>
      </w:r>
      <w:r>
        <w:rPr>
          <w:bCs/>
        </w:rPr>
        <w:t xml:space="preserve"> </w:t>
      </w:r>
      <w:r w:rsidRPr="00BE604C">
        <w:rPr>
          <w:bCs/>
        </w:rPr>
        <w:t>that:</w:t>
      </w:r>
    </w:p>
    <w:p w14:paraId="4B352BC9" w14:textId="77777777" w:rsidR="00CB7716" w:rsidRPr="00BE604C" w:rsidRDefault="00CB7716" w:rsidP="00370FB8">
      <w:pPr>
        <w:pStyle w:val="ListParagraph"/>
        <w:numPr>
          <w:ilvl w:val="0"/>
          <w:numId w:val="46"/>
        </w:numPr>
        <w:spacing w:after="240"/>
        <w:rPr>
          <w:bCs/>
        </w:rPr>
      </w:pPr>
      <w:r>
        <w:rPr>
          <w:bCs/>
        </w:rPr>
        <w:t xml:space="preserve">is used in the preparation of </w:t>
      </w:r>
      <w:r w:rsidRPr="00BE604C">
        <w:rPr>
          <w:bCs/>
        </w:rPr>
        <w:t>ready-to-eat food</w:t>
      </w:r>
      <w:r>
        <w:rPr>
          <w:bCs/>
        </w:rPr>
        <w:t xml:space="preserve"> </w:t>
      </w:r>
      <w:r w:rsidRPr="00BE604C">
        <w:rPr>
          <w:bCs/>
        </w:rPr>
        <w:t>to be served to a consumer; or</w:t>
      </w:r>
    </w:p>
    <w:p w14:paraId="51DDA7F8" w14:textId="77777777" w:rsidR="00CB7716" w:rsidRPr="003E685B" w:rsidRDefault="00CB7716" w:rsidP="00370FB8">
      <w:pPr>
        <w:pStyle w:val="ListParagraph"/>
        <w:numPr>
          <w:ilvl w:val="0"/>
          <w:numId w:val="46"/>
        </w:numPr>
        <w:spacing w:after="240"/>
        <w:rPr>
          <w:bCs/>
        </w:rPr>
      </w:pPr>
      <w:r w:rsidRPr="00BE604C">
        <w:rPr>
          <w:bCs/>
        </w:rPr>
        <w:t>is ready-to-eat food intended for retail sale by that business.</w:t>
      </w:r>
    </w:p>
    <w:p w14:paraId="3F81A8CA" w14:textId="7AB32F08" w:rsidR="00CB7716" w:rsidRDefault="00CB7716" w:rsidP="00370FB8">
      <w:pPr>
        <w:spacing w:after="240"/>
        <w:rPr>
          <w:bCs/>
        </w:rPr>
      </w:pPr>
      <w:r>
        <w:t>‘Food business’ is defined in clause 2 of Standard 3.3.1. ‘</w:t>
      </w:r>
      <w:r>
        <w:rPr>
          <w:bCs/>
        </w:rPr>
        <w:t>P</w:t>
      </w:r>
      <w:r w:rsidRPr="00BE604C">
        <w:rPr>
          <w:bCs/>
        </w:rPr>
        <w:t>otentially hazardous food</w:t>
      </w:r>
      <w:r>
        <w:rPr>
          <w:bCs/>
        </w:rPr>
        <w:t>’ and ‘</w:t>
      </w:r>
      <w:r w:rsidRPr="00BE604C">
        <w:rPr>
          <w:bCs/>
        </w:rPr>
        <w:t>ready-to-eat food</w:t>
      </w:r>
      <w:r>
        <w:rPr>
          <w:bCs/>
        </w:rPr>
        <w:t>’ are defined in section 3.2.2A—2 (see above).</w:t>
      </w:r>
    </w:p>
    <w:p w14:paraId="6C352319" w14:textId="58799A97" w:rsidR="00CB7716" w:rsidRDefault="00CB7716" w:rsidP="00370FB8">
      <w:pPr>
        <w:spacing w:after="240"/>
        <w:rPr>
          <w:bCs/>
        </w:rPr>
      </w:pPr>
      <w:r>
        <w:rPr>
          <w:bCs/>
        </w:rPr>
        <w:t xml:space="preserve">This definition identifies the target activities of the Standard; that is, activities related to the handling of potentially hazardous food at a stage where there is no further step before consumption of the food that would destroy any pathogens present in the food. </w:t>
      </w:r>
    </w:p>
    <w:p w14:paraId="4D906E7E" w14:textId="1288EBA1" w:rsidR="00CB7716" w:rsidRDefault="00CB7716" w:rsidP="00370FB8">
      <w:pPr>
        <w:spacing w:after="240"/>
      </w:pPr>
      <w:r>
        <w:t xml:space="preserve">Engagement by a food business in one of the above prescribed activities triggers the requirements in sections 3.2.2A—10, 3.2.2A—11 and 3.2.2A—12 (see below), depending on whether the food business is a category one or two business (see sections 3.2.2A—8 and 3.2.2A—9 below). </w:t>
      </w:r>
    </w:p>
    <w:p w14:paraId="44742C6F" w14:textId="7DEED252" w:rsidR="00CB7716" w:rsidRPr="008B7223" w:rsidRDefault="00CB7716" w:rsidP="00370FB8">
      <w:pPr>
        <w:tabs>
          <w:tab w:val="left" w:pos="720"/>
          <w:tab w:val="left" w:pos="851"/>
        </w:tabs>
        <w:spacing w:before="60" w:after="240"/>
      </w:pPr>
      <w:r>
        <w:rPr>
          <w:b/>
          <w:bCs/>
          <w:kern w:val="32"/>
        </w:rPr>
        <w:t>Section</w:t>
      </w:r>
      <w:r>
        <w:rPr>
          <w:bCs/>
          <w:kern w:val="32"/>
        </w:rPr>
        <w:t xml:space="preserve"> </w:t>
      </w:r>
      <w:r w:rsidRPr="009975EA">
        <w:rPr>
          <w:b/>
          <w:bCs/>
          <w:kern w:val="32"/>
        </w:rPr>
        <w:t>3.2.2A—</w:t>
      </w:r>
      <w:r>
        <w:rPr>
          <w:b/>
          <w:bCs/>
          <w:kern w:val="32"/>
        </w:rPr>
        <w:t>6</w:t>
      </w:r>
      <w:r w:rsidR="00E97AB5">
        <w:rPr>
          <w:b/>
          <w:bCs/>
          <w:kern w:val="32"/>
        </w:rPr>
        <w:t xml:space="preserve">: </w:t>
      </w:r>
      <w:r>
        <w:rPr>
          <w:b/>
          <w:bCs/>
          <w:kern w:val="32"/>
        </w:rPr>
        <w:t xml:space="preserve"> </w:t>
      </w:r>
      <w:r w:rsidR="00E97AB5" w:rsidRPr="6A61D147">
        <w:rPr>
          <w:kern w:val="32"/>
        </w:rPr>
        <w:t>This provision</w:t>
      </w:r>
      <w:r w:rsidR="00E97AB5">
        <w:rPr>
          <w:b/>
          <w:bCs/>
          <w:kern w:val="32"/>
        </w:rPr>
        <w:t xml:space="preserve"> </w:t>
      </w:r>
      <w:r w:rsidRPr="6A61D147">
        <w:rPr>
          <w:kern w:val="32"/>
        </w:rPr>
        <w:t xml:space="preserve">sets out the definition of a ‘category one business’ for the purposes of </w:t>
      </w:r>
      <w:r w:rsidR="00E97AB5" w:rsidRPr="6A61D147">
        <w:rPr>
          <w:kern w:val="32"/>
        </w:rPr>
        <w:t>the</w:t>
      </w:r>
      <w:r w:rsidRPr="6A61D147">
        <w:rPr>
          <w:kern w:val="32"/>
        </w:rPr>
        <w:t xml:space="preserve"> Standard</w:t>
      </w:r>
      <w:r w:rsidR="00E97AB5">
        <w:rPr>
          <w:bCs/>
          <w:kern w:val="32"/>
        </w:rPr>
        <w:t>.</w:t>
      </w:r>
      <w:r w:rsidR="00E97AB5">
        <w:rPr>
          <w:b/>
          <w:bCs/>
          <w:kern w:val="32"/>
        </w:rPr>
        <w:t xml:space="preserve"> </w:t>
      </w:r>
      <w:r w:rsidR="00E97AB5" w:rsidRPr="6A61D147">
        <w:rPr>
          <w:kern w:val="32"/>
        </w:rPr>
        <w:t>A</w:t>
      </w:r>
      <w:r w:rsidRPr="00E97AB5">
        <w:rPr>
          <w:bCs/>
          <w:kern w:val="32"/>
        </w:rPr>
        <w:t xml:space="preserve"> </w:t>
      </w:r>
      <w:r>
        <w:rPr>
          <w:bCs/>
          <w:kern w:val="32"/>
        </w:rPr>
        <w:t>‘</w:t>
      </w:r>
      <w:r w:rsidRPr="6A61D147">
        <w:rPr>
          <w:kern w:val="32"/>
        </w:rPr>
        <w:t>category one business</w:t>
      </w:r>
      <w:r>
        <w:rPr>
          <w:bCs/>
          <w:kern w:val="32"/>
        </w:rPr>
        <w:t>’</w:t>
      </w:r>
      <w:r w:rsidRPr="6A61D147">
        <w:rPr>
          <w:kern w:val="32"/>
        </w:rPr>
        <w:t xml:space="preserve"> means a food business that:</w:t>
      </w:r>
    </w:p>
    <w:p w14:paraId="37D967D4" w14:textId="77777777" w:rsidR="00CB7716" w:rsidRPr="000113D3" w:rsidRDefault="00CB7716" w:rsidP="6A61D147">
      <w:pPr>
        <w:pStyle w:val="ListParagraph"/>
        <w:numPr>
          <w:ilvl w:val="0"/>
          <w:numId w:val="47"/>
        </w:numPr>
        <w:tabs>
          <w:tab w:val="left" w:pos="720"/>
          <w:tab w:val="left" w:pos="851"/>
        </w:tabs>
        <w:spacing w:before="60" w:after="240"/>
        <w:rPr>
          <w:kern w:val="32"/>
        </w:rPr>
      </w:pPr>
      <w:r w:rsidRPr="6A61D147">
        <w:rPr>
          <w:kern w:val="32"/>
        </w:rPr>
        <w:t>is a caterer or a food service; and</w:t>
      </w:r>
    </w:p>
    <w:p w14:paraId="2A711120" w14:textId="77777777" w:rsidR="00CB7716" w:rsidRPr="000113D3" w:rsidRDefault="00CB7716" w:rsidP="6A61D147">
      <w:pPr>
        <w:pStyle w:val="ListParagraph"/>
        <w:numPr>
          <w:ilvl w:val="0"/>
          <w:numId w:val="47"/>
        </w:numPr>
        <w:tabs>
          <w:tab w:val="left" w:pos="720"/>
          <w:tab w:val="left" w:pos="851"/>
        </w:tabs>
        <w:spacing w:before="60" w:after="240"/>
        <w:rPr>
          <w:kern w:val="32"/>
        </w:rPr>
      </w:pPr>
      <w:r w:rsidRPr="6A61D147">
        <w:rPr>
          <w:kern w:val="32"/>
        </w:rPr>
        <w:t>processes unpackaged potentially hazardous food</w:t>
      </w:r>
      <w:r>
        <w:rPr>
          <w:bCs/>
          <w:kern w:val="32"/>
        </w:rPr>
        <w:t xml:space="preserve"> </w:t>
      </w:r>
      <w:r w:rsidRPr="6A61D147">
        <w:rPr>
          <w:kern w:val="32"/>
        </w:rPr>
        <w:t>into a food that is:</w:t>
      </w:r>
    </w:p>
    <w:p w14:paraId="4EAABBAF" w14:textId="77777777" w:rsidR="00CB7716" w:rsidRPr="000113D3" w:rsidRDefault="00CB7716" w:rsidP="6A61D147">
      <w:pPr>
        <w:pStyle w:val="ListParagraph"/>
        <w:numPr>
          <w:ilvl w:val="0"/>
          <w:numId w:val="48"/>
        </w:numPr>
        <w:tabs>
          <w:tab w:val="left" w:pos="720"/>
          <w:tab w:val="left" w:pos="851"/>
        </w:tabs>
        <w:spacing w:before="60" w:after="240"/>
        <w:ind w:firstLine="131"/>
        <w:rPr>
          <w:kern w:val="32"/>
        </w:rPr>
      </w:pPr>
      <w:r w:rsidRPr="6A61D147">
        <w:rPr>
          <w:kern w:val="32"/>
        </w:rPr>
        <w:t>potentially hazardous food; and</w:t>
      </w:r>
    </w:p>
    <w:p w14:paraId="06EF1839" w14:textId="77777777" w:rsidR="00CB7716" w:rsidRPr="000113D3" w:rsidRDefault="00CB7716" w:rsidP="00370FB8">
      <w:pPr>
        <w:pStyle w:val="ListParagraph"/>
        <w:numPr>
          <w:ilvl w:val="0"/>
          <w:numId w:val="48"/>
        </w:numPr>
        <w:tabs>
          <w:tab w:val="left" w:pos="720"/>
          <w:tab w:val="left" w:pos="851"/>
        </w:tabs>
        <w:spacing w:before="60" w:after="240"/>
        <w:ind w:firstLine="131"/>
        <w:rPr>
          <w:bCs/>
          <w:kern w:val="32"/>
        </w:rPr>
      </w:pPr>
      <w:r w:rsidRPr="000113D3">
        <w:rPr>
          <w:bCs/>
          <w:kern w:val="32"/>
        </w:rPr>
        <w:t>ready-to-eat food.</w:t>
      </w:r>
    </w:p>
    <w:p w14:paraId="1D80E88C" w14:textId="62F1E049" w:rsidR="00CB7716" w:rsidRDefault="00CB7716" w:rsidP="00370FB8">
      <w:pPr>
        <w:tabs>
          <w:tab w:val="left" w:pos="720"/>
          <w:tab w:val="left" w:pos="851"/>
        </w:tabs>
        <w:spacing w:before="60" w:after="240"/>
        <w:rPr>
          <w:bCs/>
          <w:kern w:val="32"/>
        </w:rPr>
      </w:pPr>
      <w:r>
        <w:lastRenderedPageBreak/>
        <w:t xml:space="preserve">‘Food business’ is defined in clause 2 of Standard 3.3.1. ‘Caterer’ is defined in </w:t>
      </w:r>
      <w:r>
        <w:rPr>
          <w:bCs/>
          <w:kern w:val="32"/>
        </w:rPr>
        <w:t>section 1.1.2—2 of the Code. ‘</w:t>
      </w:r>
      <w:r>
        <w:rPr>
          <w:bCs/>
        </w:rPr>
        <w:t>P</w:t>
      </w:r>
      <w:r w:rsidRPr="00BE604C">
        <w:rPr>
          <w:bCs/>
        </w:rPr>
        <w:t>otentially hazardous food</w:t>
      </w:r>
      <w:r>
        <w:rPr>
          <w:bCs/>
        </w:rPr>
        <w:t>’, ‘process’ in relation to food, and ‘</w:t>
      </w:r>
      <w:r w:rsidRPr="00BE604C">
        <w:rPr>
          <w:bCs/>
        </w:rPr>
        <w:t>ready-to-eat food</w:t>
      </w:r>
      <w:r>
        <w:rPr>
          <w:bCs/>
        </w:rPr>
        <w:t xml:space="preserve">’ are defined in section 3.2.2A—2 (see above). The meaning of ‘food service’ is set out in </w:t>
      </w:r>
      <w:r>
        <w:rPr>
          <w:bCs/>
          <w:kern w:val="32"/>
        </w:rPr>
        <w:t>section 3.2.2A—4 (see above)</w:t>
      </w:r>
      <w:r w:rsidR="00A75D2E">
        <w:rPr>
          <w:bCs/>
          <w:kern w:val="32"/>
        </w:rPr>
        <w:t>.</w:t>
      </w:r>
    </w:p>
    <w:p w14:paraId="75661248" w14:textId="77777777" w:rsidR="00CB7716" w:rsidRDefault="00CB7716" w:rsidP="00370FB8">
      <w:pPr>
        <w:tabs>
          <w:tab w:val="left" w:pos="720"/>
          <w:tab w:val="left" w:pos="851"/>
        </w:tabs>
        <w:spacing w:before="60" w:after="240"/>
        <w:rPr>
          <w:bCs/>
          <w:kern w:val="32"/>
        </w:rPr>
      </w:pPr>
      <w:r w:rsidRPr="005579B0">
        <w:rPr>
          <w:bCs/>
          <w:kern w:val="32"/>
        </w:rPr>
        <w:t xml:space="preserve">Examples </w:t>
      </w:r>
      <w:r>
        <w:rPr>
          <w:bCs/>
          <w:kern w:val="32"/>
        </w:rPr>
        <w:t xml:space="preserve">of category one businesses </w:t>
      </w:r>
      <w:r w:rsidRPr="005579B0">
        <w:rPr>
          <w:bCs/>
          <w:kern w:val="32"/>
        </w:rPr>
        <w:t>are restaurant</w:t>
      </w:r>
      <w:r>
        <w:rPr>
          <w:bCs/>
          <w:kern w:val="32"/>
        </w:rPr>
        <w:t>s</w:t>
      </w:r>
      <w:r w:rsidRPr="005579B0">
        <w:rPr>
          <w:bCs/>
          <w:kern w:val="32"/>
        </w:rPr>
        <w:t>, fast food outlet</w:t>
      </w:r>
      <w:r>
        <w:rPr>
          <w:bCs/>
          <w:kern w:val="32"/>
        </w:rPr>
        <w:t>s</w:t>
      </w:r>
      <w:r w:rsidRPr="005579B0">
        <w:rPr>
          <w:bCs/>
          <w:kern w:val="32"/>
        </w:rPr>
        <w:t xml:space="preserve">, </w:t>
      </w:r>
      <w:r>
        <w:rPr>
          <w:bCs/>
          <w:kern w:val="32"/>
        </w:rPr>
        <w:t xml:space="preserve">and </w:t>
      </w:r>
      <w:r w:rsidRPr="005579B0">
        <w:rPr>
          <w:bCs/>
          <w:kern w:val="32"/>
        </w:rPr>
        <w:t>catere</w:t>
      </w:r>
      <w:r>
        <w:rPr>
          <w:bCs/>
          <w:kern w:val="32"/>
        </w:rPr>
        <w:t>rs</w:t>
      </w:r>
      <w:r w:rsidRPr="005579B0">
        <w:rPr>
          <w:bCs/>
          <w:kern w:val="32"/>
        </w:rPr>
        <w:t xml:space="preserve"> c</w:t>
      </w:r>
      <w:r>
        <w:rPr>
          <w:bCs/>
          <w:kern w:val="32"/>
        </w:rPr>
        <w:t xml:space="preserve">atering food for a function or event. </w:t>
      </w:r>
    </w:p>
    <w:p w14:paraId="67D842AC" w14:textId="77777777" w:rsidR="00CB7716" w:rsidRDefault="00CB7716" w:rsidP="00370FB8">
      <w:pPr>
        <w:tabs>
          <w:tab w:val="left" w:pos="720"/>
          <w:tab w:val="left" w:pos="851"/>
        </w:tabs>
        <w:spacing w:before="60" w:after="240"/>
      </w:pPr>
      <w:r>
        <w:rPr>
          <w:bCs/>
          <w:kern w:val="32"/>
        </w:rPr>
        <w:t xml:space="preserve">An example of a category one business would also include a business such as a bakery that makes its own potentially hazardous food, such as a custard tart or </w:t>
      </w:r>
      <w:r>
        <w:t>quiche.</w:t>
      </w:r>
    </w:p>
    <w:p w14:paraId="6E82BDB0" w14:textId="6D142490" w:rsidR="00CB7716" w:rsidRPr="009975EA" w:rsidRDefault="00CB7716" w:rsidP="00370FB8">
      <w:pPr>
        <w:tabs>
          <w:tab w:val="left" w:pos="720"/>
          <w:tab w:val="left" w:pos="851"/>
        </w:tabs>
        <w:spacing w:before="60" w:after="240"/>
      </w:pPr>
      <w:r w:rsidRPr="6A61D147">
        <w:rPr>
          <w:kern w:val="32"/>
        </w:rPr>
        <w:t xml:space="preserve">It is intended that the definition of a ‘category one business’ </w:t>
      </w:r>
      <w:r w:rsidR="00E97AB5" w:rsidRPr="6A61D147">
        <w:rPr>
          <w:kern w:val="32"/>
        </w:rPr>
        <w:t xml:space="preserve">will </w:t>
      </w:r>
      <w:r w:rsidRPr="6A61D147">
        <w:rPr>
          <w:kern w:val="32"/>
        </w:rPr>
        <w:t>also capture a business that makes and then sells ‘ready-to-eat food’ to another business, for example a food business which sells premade sandwiches to a café.</w:t>
      </w:r>
    </w:p>
    <w:p w14:paraId="1B0F3B96" w14:textId="6A13F159" w:rsidR="00CB7716" w:rsidRPr="003C17C4" w:rsidRDefault="00CB7716" w:rsidP="00574F1C">
      <w:pPr>
        <w:tabs>
          <w:tab w:val="left" w:pos="720"/>
          <w:tab w:val="left" w:pos="851"/>
        </w:tabs>
        <w:spacing w:before="60" w:after="240"/>
      </w:pPr>
      <w:r>
        <w:rPr>
          <w:b/>
          <w:bCs/>
          <w:kern w:val="32"/>
        </w:rPr>
        <w:t xml:space="preserve">Section </w:t>
      </w:r>
      <w:r w:rsidRPr="009975EA">
        <w:rPr>
          <w:b/>
          <w:bCs/>
          <w:kern w:val="32"/>
        </w:rPr>
        <w:t>3.2.2A—</w:t>
      </w:r>
      <w:r>
        <w:rPr>
          <w:b/>
          <w:bCs/>
          <w:kern w:val="32"/>
        </w:rPr>
        <w:t>7</w:t>
      </w:r>
      <w:r w:rsidR="00E97AB5">
        <w:rPr>
          <w:b/>
          <w:bCs/>
          <w:kern w:val="32"/>
        </w:rPr>
        <w:t xml:space="preserve">: </w:t>
      </w:r>
      <w:r w:rsidR="00E97AB5" w:rsidRPr="6A61D147">
        <w:rPr>
          <w:kern w:val="32"/>
        </w:rPr>
        <w:t>This provision</w:t>
      </w:r>
      <w:r w:rsidR="00E97AB5">
        <w:rPr>
          <w:b/>
          <w:bCs/>
          <w:kern w:val="32"/>
        </w:rPr>
        <w:t xml:space="preserve"> </w:t>
      </w:r>
      <w:r w:rsidRPr="6A61D147">
        <w:rPr>
          <w:kern w:val="32"/>
        </w:rPr>
        <w:t xml:space="preserve">sets out the definition of a ‘category two business’ for the purposes of </w:t>
      </w:r>
      <w:r w:rsidR="00E97AB5" w:rsidRPr="6A61D147">
        <w:rPr>
          <w:kern w:val="32"/>
        </w:rPr>
        <w:t>the</w:t>
      </w:r>
      <w:r w:rsidRPr="6A61D147">
        <w:rPr>
          <w:kern w:val="32"/>
        </w:rPr>
        <w:t xml:space="preserve"> Standard</w:t>
      </w:r>
      <w:r w:rsidR="00E97AB5">
        <w:rPr>
          <w:b/>
          <w:bCs/>
          <w:kern w:val="32"/>
        </w:rPr>
        <w:t xml:space="preserve">. </w:t>
      </w:r>
      <w:r w:rsidR="00370FB8">
        <w:rPr>
          <w:b/>
          <w:bCs/>
          <w:kern w:val="32"/>
        </w:rPr>
        <w:t>‘</w:t>
      </w:r>
      <w:r w:rsidR="00370FB8" w:rsidRPr="6A61D147">
        <w:rPr>
          <w:kern w:val="32"/>
        </w:rPr>
        <w:t>C</w:t>
      </w:r>
      <w:r w:rsidRPr="13D60F1E">
        <w:rPr>
          <w:kern w:val="32"/>
        </w:rPr>
        <w:t>ategory two business</w:t>
      </w:r>
      <w:r>
        <w:rPr>
          <w:bCs/>
          <w:kern w:val="32"/>
        </w:rPr>
        <w:t>’</w:t>
      </w:r>
      <w:r w:rsidRPr="13D60F1E">
        <w:rPr>
          <w:kern w:val="32"/>
        </w:rPr>
        <w:t xml:space="preserve"> means a food business that</w:t>
      </w:r>
      <w:r>
        <w:rPr>
          <w:bCs/>
          <w:kern w:val="32"/>
        </w:rPr>
        <w:t xml:space="preserve"> </w:t>
      </w:r>
      <w:r w:rsidRPr="13D60F1E">
        <w:rPr>
          <w:kern w:val="32"/>
        </w:rPr>
        <w:t>offers for retail sale a food that is</w:t>
      </w:r>
      <w:r w:rsidRPr="13D60F1E">
        <w:rPr>
          <w:kern w:val="32"/>
          <w:lang w:val="en-AU"/>
        </w:rPr>
        <w:t>:</w:t>
      </w:r>
    </w:p>
    <w:p w14:paraId="326DB6AB" w14:textId="77777777" w:rsidR="00CB7716" w:rsidRPr="000113D3" w:rsidRDefault="00CB7716" w:rsidP="6A61D147">
      <w:pPr>
        <w:pStyle w:val="ListParagraph"/>
        <w:numPr>
          <w:ilvl w:val="0"/>
          <w:numId w:val="49"/>
        </w:numPr>
        <w:tabs>
          <w:tab w:val="left" w:pos="720"/>
          <w:tab w:val="left" w:pos="851"/>
        </w:tabs>
        <w:spacing w:before="60" w:after="240"/>
        <w:rPr>
          <w:kern w:val="32"/>
        </w:rPr>
      </w:pPr>
      <w:r w:rsidRPr="6A61D147">
        <w:rPr>
          <w:kern w:val="32"/>
        </w:rPr>
        <w:t>potentially hazardous food; and</w:t>
      </w:r>
    </w:p>
    <w:p w14:paraId="36059B68" w14:textId="77777777" w:rsidR="00CB7716" w:rsidRPr="000113D3" w:rsidRDefault="00CB7716" w:rsidP="6A61D147">
      <w:pPr>
        <w:pStyle w:val="ListParagraph"/>
        <w:numPr>
          <w:ilvl w:val="0"/>
          <w:numId w:val="49"/>
        </w:numPr>
        <w:tabs>
          <w:tab w:val="left" w:pos="720"/>
          <w:tab w:val="left" w:pos="851"/>
        </w:tabs>
        <w:spacing w:before="60" w:after="240"/>
        <w:rPr>
          <w:kern w:val="32"/>
          <w:lang w:val="en-AU"/>
        </w:rPr>
      </w:pPr>
      <w:r w:rsidRPr="6A61D147">
        <w:rPr>
          <w:kern w:val="32"/>
        </w:rPr>
        <w:t>ready-to-eat food</w:t>
      </w:r>
      <w:r w:rsidRPr="6A61D147">
        <w:rPr>
          <w:kern w:val="32"/>
          <w:lang w:val="en-AU"/>
        </w:rPr>
        <w:t>; and</w:t>
      </w:r>
    </w:p>
    <w:p w14:paraId="1027C418" w14:textId="7BE1876E" w:rsidR="00CB7716" w:rsidRPr="003C17C4" w:rsidRDefault="00E97AB5" w:rsidP="00370FB8">
      <w:pPr>
        <w:tabs>
          <w:tab w:val="left" w:pos="720"/>
          <w:tab w:val="left" w:pos="851"/>
        </w:tabs>
        <w:spacing w:before="60" w:after="240"/>
      </w:pPr>
      <w:r w:rsidRPr="6A61D147">
        <w:rPr>
          <w:kern w:val="32"/>
          <w:lang w:val="en-AU"/>
        </w:rPr>
        <w:t xml:space="preserve">     </w:t>
      </w:r>
      <w:r w:rsidR="00CB7716" w:rsidRPr="6A61D147">
        <w:rPr>
          <w:kern w:val="32"/>
          <w:lang w:val="en-AU"/>
        </w:rPr>
        <w:t>where that food:</w:t>
      </w:r>
    </w:p>
    <w:p w14:paraId="609A81FE" w14:textId="77777777" w:rsidR="00CB7716" w:rsidRPr="000113D3" w:rsidRDefault="00CB7716" w:rsidP="00370FB8">
      <w:pPr>
        <w:pStyle w:val="ListParagraph"/>
        <w:numPr>
          <w:ilvl w:val="0"/>
          <w:numId w:val="50"/>
        </w:numPr>
        <w:tabs>
          <w:tab w:val="left" w:pos="720"/>
          <w:tab w:val="left" w:pos="851"/>
        </w:tabs>
        <w:spacing w:before="60" w:after="240"/>
        <w:rPr>
          <w:bCs/>
          <w:iCs/>
          <w:kern w:val="32"/>
        </w:rPr>
      </w:pPr>
      <w:r w:rsidRPr="000113D3">
        <w:rPr>
          <w:bCs/>
          <w:iCs/>
          <w:kern w:val="32"/>
        </w:rPr>
        <w:t xml:space="preserve">was received unpackaged by the food business </w:t>
      </w:r>
      <w:r w:rsidRPr="000113D3">
        <w:rPr>
          <w:bCs/>
          <w:kern w:val="32"/>
        </w:rPr>
        <w:t>or was unpackaged by the food business after receipt; and</w:t>
      </w:r>
    </w:p>
    <w:p w14:paraId="2279CCBC" w14:textId="77777777" w:rsidR="00CB7716" w:rsidRPr="000113D3" w:rsidRDefault="00CB7716" w:rsidP="00370FB8">
      <w:pPr>
        <w:pStyle w:val="ListParagraph"/>
        <w:numPr>
          <w:ilvl w:val="0"/>
          <w:numId w:val="50"/>
        </w:numPr>
        <w:tabs>
          <w:tab w:val="left" w:pos="720"/>
          <w:tab w:val="left" w:pos="851"/>
        </w:tabs>
        <w:spacing w:before="60" w:after="240"/>
        <w:rPr>
          <w:bCs/>
          <w:iCs/>
          <w:kern w:val="32"/>
        </w:rPr>
      </w:pPr>
      <w:r w:rsidRPr="000113D3">
        <w:rPr>
          <w:bCs/>
          <w:iCs/>
          <w:kern w:val="32"/>
        </w:rPr>
        <w:t>was not made or processed (other than slicing, weighing, repacking, reheating or hot-holding the food) by the food business</w:t>
      </w:r>
      <w:r>
        <w:rPr>
          <w:bCs/>
          <w:iCs/>
          <w:kern w:val="32"/>
        </w:rPr>
        <w:t>.</w:t>
      </w:r>
    </w:p>
    <w:p w14:paraId="35B00B82" w14:textId="2C1D41EB" w:rsidR="00CB7716" w:rsidRDefault="00CB7716" w:rsidP="00370FB8">
      <w:pPr>
        <w:tabs>
          <w:tab w:val="left" w:pos="720"/>
          <w:tab w:val="left" w:pos="851"/>
        </w:tabs>
        <w:spacing w:before="60" w:after="240"/>
        <w:rPr>
          <w:bCs/>
          <w:kern w:val="32"/>
        </w:rPr>
      </w:pPr>
      <w:r>
        <w:t xml:space="preserve">‘Food business’ is defined in clause 2 of Standard 3.3.1. </w:t>
      </w:r>
      <w:r>
        <w:rPr>
          <w:bCs/>
          <w:kern w:val="32"/>
        </w:rPr>
        <w:t>‘</w:t>
      </w:r>
      <w:r>
        <w:rPr>
          <w:bCs/>
        </w:rPr>
        <w:t>P</w:t>
      </w:r>
      <w:r w:rsidRPr="00BE604C">
        <w:rPr>
          <w:bCs/>
        </w:rPr>
        <w:t>otentially hazardous food</w:t>
      </w:r>
      <w:r>
        <w:rPr>
          <w:bCs/>
        </w:rPr>
        <w:t>’, ‘process’ in relation to food, and ‘</w:t>
      </w:r>
      <w:r w:rsidRPr="00BE604C">
        <w:rPr>
          <w:bCs/>
        </w:rPr>
        <w:t>ready-to-eat food</w:t>
      </w:r>
      <w:r>
        <w:rPr>
          <w:bCs/>
        </w:rPr>
        <w:t>’ are defined in section 3.2.2A—2 (see above).</w:t>
      </w:r>
    </w:p>
    <w:p w14:paraId="3DB65172" w14:textId="77777777" w:rsidR="00CB7716" w:rsidRPr="00F84A9E" w:rsidRDefault="00CB7716" w:rsidP="00370FB8">
      <w:pPr>
        <w:tabs>
          <w:tab w:val="left" w:pos="720"/>
          <w:tab w:val="left" w:pos="851"/>
        </w:tabs>
        <w:spacing w:before="60" w:after="240"/>
      </w:pPr>
      <w:r w:rsidRPr="6A61D147">
        <w:rPr>
          <w:kern w:val="32"/>
        </w:rPr>
        <w:t xml:space="preserve">An example of a ‘category two business’ is a retail store that sells unpackaged ham directly to a consumer, such as a delicatessen, even if the ham is wrapped by the business before it is handed to a consumer. The business would be able to do minimal processing, including slice, weigh, repack, reheat or hot-hold the food, and still be classed as a category two business. </w:t>
      </w:r>
    </w:p>
    <w:p w14:paraId="601BA10C" w14:textId="1BA89373" w:rsidR="00CB7716" w:rsidRDefault="00CB7716" w:rsidP="00370FB8">
      <w:pPr>
        <w:tabs>
          <w:tab w:val="left" w:pos="720"/>
          <w:tab w:val="left" w:pos="851"/>
        </w:tabs>
        <w:spacing w:before="60" w:after="240"/>
        <w:rPr>
          <w:bCs/>
          <w:kern w:val="32"/>
        </w:rPr>
      </w:pPr>
      <w:r>
        <w:rPr>
          <w:b/>
          <w:bCs/>
          <w:kern w:val="32"/>
        </w:rPr>
        <w:t>Section</w:t>
      </w:r>
      <w:r w:rsidRPr="009975EA">
        <w:rPr>
          <w:b/>
          <w:bCs/>
          <w:kern w:val="32"/>
        </w:rPr>
        <w:t xml:space="preserve"> 3.2.2A—</w:t>
      </w:r>
      <w:r>
        <w:rPr>
          <w:b/>
          <w:bCs/>
          <w:kern w:val="32"/>
        </w:rPr>
        <w:t>8</w:t>
      </w:r>
      <w:r w:rsidR="00E97AB5">
        <w:rPr>
          <w:b/>
          <w:bCs/>
          <w:kern w:val="32"/>
        </w:rPr>
        <w:t xml:space="preserve">: </w:t>
      </w:r>
      <w:r w:rsidR="00E97AB5" w:rsidRPr="00574F1C">
        <w:rPr>
          <w:bCs/>
          <w:kern w:val="32"/>
        </w:rPr>
        <w:t>This provision</w:t>
      </w:r>
      <w:r>
        <w:rPr>
          <w:b/>
          <w:bCs/>
          <w:kern w:val="32"/>
        </w:rPr>
        <w:t xml:space="preserve"> </w:t>
      </w:r>
      <w:r>
        <w:rPr>
          <w:bCs/>
          <w:kern w:val="32"/>
        </w:rPr>
        <w:t>identifies</w:t>
      </w:r>
      <w:r w:rsidRPr="00FA0608">
        <w:rPr>
          <w:bCs/>
          <w:kern w:val="32"/>
        </w:rPr>
        <w:t xml:space="preserve"> </w:t>
      </w:r>
      <w:r>
        <w:rPr>
          <w:bCs/>
          <w:kern w:val="32"/>
        </w:rPr>
        <w:t xml:space="preserve">which </w:t>
      </w:r>
      <w:r w:rsidRPr="00FA0608">
        <w:rPr>
          <w:bCs/>
          <w:kern w:val="32"/>
        </w:rPr>
        <w:t xml:space="preserve">food safety management tools apply to </w:t>
      </w:r>
      <w:r>
        <w:rPr>
          <w:bCs/>
          <w:kern w:val="32"/>
        </w:rPr>
        <w:t xml:space="preserve">category one </w:t>
      </w:r>
      <w:r w:rsidRPr="00FA0608">
        <w:rPr>
          <w:bCs/>
          <w:kern w:val="32"/>
        </w:rPr>
        <w:t>business</w:t>
      </w:r>
      <w:r>
        <w:rPr>
          <w:bCs/>
          <w:kern w:val="32"/>
        </w:rPr>
        <w:t>es</w:t>
      </w:r>
      <w:r w:rsidR="00E97AB5">
        <w:rPr>
          <w:b/>
          <w:bCs/>
          <w:kern w:val="32"/>
        </w:rPr>
        <w:t xml:space="preserve">. </w:t>
      </w:r>
      <w:r w:rsidR="00E97AB5" w:rsidRPr="00574F1C">
        <w:rPr>
          <w:bCs/>
          <w:kern w:val="32"/>
        </w:rPr>
        <w:t>It</w:t>
      </w:r>
      <w:r w:rsidR="00E97AB5">
        <w:rPr>
          <w:b/>
          <w:bCs/>
          <w:kern w:val="32"/>
        </w:rPr>
        <w:t xml:space="preserve"> </w:t>
      </w:r>
      <w:r w:rsidRPr="003E7972">
        <w:rPr>
          <w:bCs/>
          <w:kern w:val="32"/>
        </w:rPr>
        <w:t>provides that a</w:t>
      </w:r>
      <w:r>
        <w:rPr>
          <w:bCs/>
          <w:kern w:val="32"/>
        </w:rPr>
        <w:t xml:space="preserve"> ‘category one business’ (</w:t>
      </w:r>
      <w:r w:rsidR="00E97AB5">
        <w:rPr>
          <w:bCs/>
          <w:kern w:val="32"/>
        </w:rPr>
        <w:t xml:space="preserve">as defined by </w:t>
      </w:r>
      <w:r>
        <w:rPr>
          <w:bCs/>
          <w:kern w:val="32"/>
        </w:rPr>
        <w:t>section 3.2.2A—6) must comply with sections 3.2.2A—10 (</w:t>
      </w:r>
      <w:r w:rsidRPr="00CE0C63">
        <w:rPr>
          <w:bCs/>
          <w:kern w:val="32"/>
        </w:rPr>
        <w:t>Food safety training for food handlers engaged in a prescribed activity</w:t>
      </w:r>
      <w:r>
        <w:rPr>
          <w:bCs/>
          <w:kern w:val="32"/>
        </w:rPr>
        <w:t>), 3.2.2A—11 (</w:t>
      </w:r>
      <w:r w:rsidRPr="00CE0C63">
        <w:rPr>
          <w:bCs/>
          <w:kern w:val="32"/>
        </w:rPr>
        <w:t>Supervision of food handlers</w:t>
      </w:r>
      <w:r>
        <w:rPr>
          <w:bCs/>
          <w:kern w:val="32"/>
        </w:rPr>
        <w:t>), and 3.2.2A—12 (</w:t>
      </w:r>
      <w:r w:rsidRPr="00CE0C63">
        <w:rPr>
          <w:bCs/>
          <w:kern w:val="32"/>
        </w:rPr>
        <w:t>Substantiating food safety management of prescribed activities</w:t>
      </w:r>
      <w:r>
        <w:rPr>
          <w:bCs/>
          <w:kern w:val="32"/>
        </w:rPr>
        <w:t>) (see below).</w:t>
      </w:r>
    </w:p>
    <w:p w14:paraId="1EFE30D6" w14:textId="2875E153" w:rsidR="00CB7716" w:rsidRDefault="00CB7716" w:rsidP="00370FB8">
      <w:pPr>
        <w:tabs>
          <w:tab w:val="left" w:pos="720"/>
          <w:tab w:val="left" w:pos="851"/>
        </w:tabs>
        <w:spacing w:before="60" w:after="240"/>
      </w:pPr>
      <w:r w:rsidRPr="6A61D147">
        <w:rPr>
          <w:kern w:val="32"/>
        </w:rPr>
        <w:t xml:space="preserve">If a business engages in activities of </w:t>
      </w:r>
      <w:r w:rsidRPr="6A61D147">
        <w:rPr>
          <w:i/>
          <w:iCs/>
          <w:kern w:val="32"/>
        </w:rPr>
        <w:t>both</w:t>
      </w:r>
      <w:r w:rsidRPr="6A61D147">
        <w:rPr>
          <w:kern w:val="32"/>
        </w:rPr>
        <w:t xml:space="preserve"> a category one and category two business (see sections 3.2.2A—6 and 3.2.2A—7 respectively, above), then section 3.2.2A—8 would apply to that business.</w:t>
      </w:r>
    </w:p>
    <w:p w14:paraId="73771F04" w14:textId="0EF32703" w:rsidR="00CB7716" w:rsidRDefault="00CB7716" w:rsidP="00370FB8">
      <w:pPr>
        <w:pStyle w:val="FSCtMain"/>
        <w:spacing w:after="240"/>
        <w:ind w:left="0" w:firstLine="0"/>
        <w:rPr>
          <w:rFonts w:cs="Times New Roman"/>
          <w:bCs/>
          <w:iCs w:val="0"/>
          <w:kern w:val="32"/>
          <w:sz w:val="22"/>
          <w:szCs w:val="24"/>
          <w:lang w:eastAsia="en-US" w:bidi="en-US"/>
        </w:rPr>
      </w:pPr>
      <w:r>
        <w:rPr>
          <w:rFonts w:cs="Times New Roman"/>
          <w:b/>
          <w:bCs/>
          <w:iCs w:val="0"/>
          <w:kern w:val="32"/>
          <w:sz w:val="22"/>
          <w:szCs w:val="24"/>
          <w:lang w:eastAsia="en-US" w:bidi="en-US"/>
        </w:rPr>
        <w:t>Section 3.2.2A—9</w:t>
      </w:r>
      <w:r w:rsidR="00E97AB5" w:rsidRPr="00B60AA2">
        <w:rPr>
          <w:rFonts w:cs="Times New Roman"/>
          <w:b/>
          <w:bCs/>
          <w:iCs w:val="0"/>
          <w:kern w:val="32"/>
          <w:sz w:val="22"/>
          <w:lang w:eastAsia="en-US" w:bidi="en-US"/>
        </w:rPr>
        <w:t xml:space="preserve">: </w:t>
      </w:r>
      <w:r w:rsidR="00E97AB5" w:rsidRPr="00574F1C">
        <w:rPr>
          <w:bCs/>
          <w:iCs w:val="0"/>
          <w:kern w:val="32"/>
          <w:sz w:val="22"/>
        </w:rPr>
        <w:t>This provision</w:t>
      </w:r>
      <w:r w:rsidRPr="00B60AA2">
        <w:rPr>
          <w:rFonts w:cs="Times New Roman"/>
          <w:b/>
          <w:bCs/>
          <w:iCs w:val="0"/>
          <w:kern w:val="32"/>
          <w:sz w:val="22"/>
          <w:lang w:eastAsia="en-US" w:bidi="en-US"/>
        </w:rPr>
        <w:t xml:space="preserve"> </w:t>
      </w:r>
      <w:r>
        <w:rPr>
          <w:rFonts w:cs="Times New Roman"/>
          <w:bCs/>
          <w:iCs w:val="0"/>
          <w:kern w:val="32"/>
          <w:sz w:val="22"/>
          <w:szCs w:val="24"/>
          <w:lang w:eastAsia="en-US" w:bidi="en-US"/>
        </w:rPr>
        <w:t>identifies</w:t>
      </w:r>
      <w:r w:rsidRPr="000113D3">
        <w:rPr>
          <w:rFonts w:cs="Times New Roman"/>
          <w:bCs/>
          <w:iCs w:val="0"/>
          <w:kern w:val="32"/>
          <w:sz w:val="22"/>
          <w:szCs w:val="24"/>
          <w:lang w:eastAsia="en-US" w:bidi="en-US"/>
        </w:rPr>
        <w:t xml:space="preserve"> which food safety management tools apply to category </w:t>
      </w:r>
      <w:r>
        <w:rPr>
          <w:rFonts w:cs="Times New Roman"/>
          <w:bCs/>
          <w:iCs w:val="0"/>
          <w:kern w:val="32"/>
          <w:sz w:val="22"/>
          <w:szCs w:val="24"/>
          <w:lang w:eastAsia="en-US" w:bidi="en-US"/>
        </w:rPr>
        <w:t>two</w:t>
      </w:r>
      <w:r w:rsidRPr="000113D3">
        <w:rPr>
          <w:rFonts w:cs="Times New Roman"/>
          <w:bCs/>
          <w:iCs w:val="0"/>
          <w:kern w:val="32"/>
          <w:sz w:val="22"/>
          <w:szCs w:val="24"/>
          <w:lang w:eastAsia="en-US" w:bidi="en-US"/>
        </w:rPr>
        <w:t xml:space="preserve"> businesses.</w:t>
      </w:r>
      <w:r w:rsidR="00E97AB5">
        <w:rPr>
          <w:rFonts w:cs="Times New Roman"/>
          <w:bCs/>
          <w:iCs w:val="0"/>
          <w:kern w:val="32"/>
          <w:sz w:val="22"/>
          <w:szCs w:val="24"/>
          <w:lang w:eastAsia="en-US" w:bidi="en-US"/>
        </w:rPr>
        <w:t xml:space="preserve"> It</w:t>
      </w:r>
      <w:r w:rsidRPr="00ED2BEE">
        <w:rPr>
          <w:rFonts w:cs="Times New Roman"/>
          <w:bCs/>
          <w:iCs w:val="0"/>
          <w:kern w:val="32"/>
          <w:sz w:val="22"/>
          <w:szCs w:val="24"/>
          <w:lang w:eastAsia="en-US" w:bidi="en-US"/>
        </w:rPr>
        <w:t xml:space="preserve"> provides that</w:t>
      </w:r>
      <w:r w:rsidRPr="000113D3">
        <w:rPr>
          <w:rFonts w:cs="Times New Roman"/>
          <w:bCs/>
          <w:iCs w:val="0"/>
          <w:kern w:val="32"/>
          <w:sz w:val="22"/>
          <w:szCs w:val="24"/>
          <w:lang w:eastAsia="en-US" w:bidi="en-US"/>
        </w:rPr>
        <w:t xml:space="preserve"> </w:t>
      </w:r>
      <w:r>
        <w:rPr>
          <w:rFonts w:cs="Times New Roman"/>
          <w:bCs/>
          <w:iCs w:val="0"/>
          <w:kern w:val="32"/>
          <w:sz w:val="22"/>
          <w:szCs w:val="24"/>
          <w:lang w:eastAsia="en-US" w:bidi="en-US"/>
        </w:rPr>
        <w:t xml:space="preserve">a </w:t>
      </w:r>
      <w:r w:rsidRPr="000113D3">
        <w:rPr>
          <w:rFonts w:cs="Times New Roman"/>
          <w:bCs/>
          <w:iCs w:val="0"/>
          <w:kern w:val="32"/>
          <w:sz w:val="22"/>
          <w:szCs w:val="24"/>
          <w:lang w:eastAsia="en-US" w:bidi="en-US"/>
        </w:rPr>
        <w:t xml:space="preserve">category </w:t>
      </w:r>
      <w:r>
        <w:rPr>
          <w:rFonts w:cs="Times New Roman"/>
          <w:bCs/>
          <w:iCs w:val="0"/>
          <w:kern w:val="32"/>
          <w:sz w:val="22"/>
          <w:szCs w:val="24"/>
          <w:lang w:eastAsia="en-US" w:bidi="en-US"/>
        </w:rPr>
        <w:t>two</w:t>
      </w:r>
      <w:r w:rsidRPr="000113D3">
        <w:rPr>
          <w:rFonts w:cs="Times New Roman"/>
          <w:bCs/>
          <w:iCs w:val="0"/>
          <w:kern w:val="32"/>
          <w:sz w:val="22"/>
          <w:szCs w:val="24"/>
          <w:lang w:eastAsia="en-US" w:bidi="en-US"/>
        </w:rPr>
        <w:t xml:space="preserve"> business (see section 3.2.2A—</w:t>
      </w:r>
      <w:r>
        <w:rPr>
          <w:rFonts w:cs="Times New Roman"/>
          <w:bCs/>
          <w:iCs w:val="0"/>
          <w:kern w:val="32"/>
          <w:sz w:val="22"/>
          <w:szCs w:val="24"/>
          <w:lang w:eastAsia="en-US" w:bidi="en-US"/>
        </w:rPr>
        <w:t>7</w:t>
      </w:r>
      <w:r w:rsidRPr="000113D3">
        <w:rPr>
          <w:rFonts w:cs="Times New Roman"/>
          <w:bCs/>
          <w:iCs w:val="0"/>
          <w:kern w:val="32"/>
          <w:sz w:val="22"/>
          <w:szCs w:val="24"/>
          <w:lang w:eastAsia="en-US" w:bidi="en-US"/>
        </w:rPr>
        <w:t xml:space="preserve"> above) must comply with sections 3.2.2A—10 (Food safety training for food handlers eng</w:t>
      </w:r>
      <w:r>
        <w:rPr>
          <w:rFonts w:cs="Times New Roman"/>
          <w:bCs/>
          <w:iCs w:val="0"/>
          <w:kern w:val="32"/>
          <w:sz w:val="22"/>
          <w:szCs w:val="24"/>
          <w:lang w:eastAsia="en-US" w:bidi="en-US"/>
        </w:rPr>
        <w:t xml:space="preserve">aged in a prescribed activity) and </w:t>
      </w:r>
      <w:r w:rsidRPr="000113D3">
        <w:rPr>
          <w:rFonts w:cs="Times New Roman"/>
          <w:bCs/>
          <w:iCs w:val="0"/>
          <w:kern w:val="32"/>
          <w:sz w:val="22"/>
          <w:szCs w:val="24"/>
          <w:lang w:eastAsia="en-US" w:bidi="en-US"/>
        </w:rPr>
        <w:t>3.2.2A—11 (Supervision of food handlers)</w:t>
      </w:r>
      <w:r>
        <w:rPr>
          <w:rFonts w:cs="Times New Roman"/>
          <w:bCs/>
          <w:iCs w:val="0"/>
          <w:kern w:val="32"/>
          <w:sz w:val="22"/>
          <w:szCs w:val="24"/>
          <w:lang w:eastAsia="en-US" w:bidi="en-US"/>
        </w:rPr>
        <w:t xml:space="preserve"> (see below).</w:t>
      </w:r>
    </w:p>
    <w:p w14:paraId="3BEDC880" w14:textId="7B17B67B" w:rsidR="00CB7716" w:rsidRPr="000113D3" w:rsidRDefault="00CB7716" w:rsidP="6A61D147">
      <w:pPr>
        <w:pStyle w:val="FSCtMain"/>
        <w:spacing w:after="240"/>
        <w:ind w:left="0" w:firstLine="0"/>
        <w:rPr>
          <w:rFonts w:cs="Times New Roman"/>
          <w:kern w:val="32"/>
          <w:sz w:val="22"/>
          <w:lang w:eastAsia="en-US" w:bidi="en-US"/>
        </w:rPr>
      </w:pPr>
      <w:r w:rsidRPr="6A61D147">
        <w:rPr>
          <w:rFonts w:cs="Times New Roman"/>
          <w:kern w:val="32"/>
          <w:sz w:val="22"/>
          <w:lang w:eastAsia="en-US" w:bidi="en-US"/>
        </w:rPr>
        <w:t xml:space="preserve">However, as stated above, if a business engages in activities of </w:t>
      </w:r>
      <w:r w:rsidRPr="6A61D147">
        <w:rPr>
          <w:rFonts w:cs="Times New Roman"/>
          <w:i/>
          <w:kern w:val="32"/>
          <w:sz w:val="22"/>
          <w:lang w:eastAsia="en-US" w:bidi="en-US"/>
        </w:rPr>
        <w:t>both</w:t>
      </w:r>
      <w:r w:rsidRPr="6A61D147">
        <w:rPr>
          <w:rFonts w:cs="Times New Roman"/>
          <w:kern w:val="32"/>
          <w:sz w:val="22"/>
          <w:lang w:eastAsia="en-US" w:bidi="en-US"/>
        </w:rPr>
        <w:t xml:space="preserve"> a category one and </w:t>
      </w:r>
      <w:r w:rsidRPr="6A61D147">
        <w:rPr>
          <w:rFonts w:cs="Times New Roman"/>
          <w:kern w:val="32"/>
          <w:sz w:val="22"/>
          <w:lang w:eastAsia="en-US" w:bidi="en-US"/>
        </w:rPr>
        <w:lastRenderedPageBreak/>
        <w:t>category two business (see sections 3.2.2A—6 and 3.2.2A—7 respectively, above), then section 3.2.2A—8 (see above) would apply to that business.</w:t>
      </w:r>
    </w:p>
    <w:p w14:paraId="08DF4FF0" w14:textId="6B3C3412" w:rsidR="00CB7716" w:rsidRPr="000113D3" w:rsidRDefault="00CB7716" w:rsidP="00370FB8">
      <w:pPr>
        <w:spacing w:after="240"/>
      </w:pPr>
      <w:r w:rsidRPr="6A61D147">
        <w:rPr>
          <w:b/>
          <w:bCs/>
        </w:rPr>
        <w:t>Section</w:t>
      </w:r>
      <w:r>
        <w:t xml:space="preserve"> </w:t>
      </w:r>
      <w:r w:rsidRPr="6A61D147">
        <w:rPr>
          <w:b/>
          <w:bCs/>
        </w:rPr>
        <w:t>3.2.2A—10</w:t>
      </w:r>
      <w:r w:rsidR="00E97AB5" w:rsidRPr="6A61D147">
        <w:rPr>
          <w:b/>
          <w:bCs/>
        </w:rPr>
        <w:t xml:space="preserve">: </w:t>
      </w:r>
      <w:r w:rsidR="00E97AB5">
        <w:t>This provision</w:t>
      </w:r>
      <w:r w:rsidR="00E97AB5" w:rsidRPr="6A61D147">
        <w:rPr>
          <w:b/>
          <w:bCs/>
        </w:rPr>
        <w:t xml:space="preserve"> </w:t>
      </w:r>
      <w:r>
        <w:t xml:space="preserve">sets out the food safety training requirements for food handlers who engage in a prescribed activity (food safety training requirements). </w:t>
      </w:r>
      <w:r w:rsidR="00E97AB5">
        <w:t>It</w:t>
      </w:r>
      <w:r w:rsidR="00E97AB5" w:rsidRPr="6A61D147">
        <w:rPr>
          <w:b/>
          <w:bCs/>
        </w:rPr>
        <w:t xml:space="preserve"> </w:t>
      </w:r>
      <w:r>
        <w:t xml:space="preserve">provides that a food business must ensure that each food handler who engages in a prescribed activity has, </w:t>
      </w:r>
      <w:r w:rsidRPr="6A61D147">
        <w:rPr>
          <w:i/>
          <w:iCs/>
        </w:rPr>
        <w:t>before engaging in that activity</w:t>
      </w:r>
      <w:r>
        <w:t xml:space="preserve">: </w:t>
      </w:r>
    </w:p>
    <w:p w14:paraId="7A0A581E" w14:textId="5E3B7468" w:rsidR="00CB7716" w:rsidRPr="000113D3" w:rsidRDefault="00CB7716" w:rsidP="00370FB8">
      <w:pPr>
        <w:pStyle w:val="ListParagraph"/>
        <w:numPr>
          <w:ilvl w:val="0"/>
          <w:numId w:val="51"/>
        </w:numPr>
        <w:spacing w:after="240"/>
      </w:pPr>
      <w:r>
        <w:t>completed a food safety training course; or</w:t>
      </w:r>
    </w:p>
    <w:p w14:paraId="79E35DFF" w14:textId="3B82F68F" w:rsidR="00CB7716" w:rsidRPr="000113D3" w:rsidRDefault="00CB7716" w:rsidP="00370FB8">
      <w:pPr>
        <w:pStyle w:val="ListParagraph"/>
        <w:numPr>
          <w:ilvl w:val="0"/>
          <w:numId w:val="51"/>
        </w:numPr>
        <w:spacing w:after="240"/>
      </w:pPr>
      <w:r>
        <w:t>skills and knowledge of food safety and hygiene matters commensurate with that specific prescribed activity.</w:t>
      </w:r>
    </w:p>
    <w:p w14:paraId="2299FD72" w14:textId="2E760E19" w:rsidR="00CB7716" w:rsidRDefault="00CB7716" w:rsidP="00370FB8">
      <w:pPr>
        <w:spacing w:after="240"/>
      </w:pPr>
      <w:r>
        <w:t>‘Food safety training’ and ‘food safety training course’ are defined in section 3.2.2A—2 (see above). ‘Food business’ and ‘handling’ are defined in clause 2 of Standard 3.3.1. What constitutes a ‘prescribed activity’ is set out in section 3.2.2A—5 (see above).</w:t>
      </w:r>
    </w:p>
    <w:p w14:paraId="089CB0FF" w14:textId="77777777" w:rsidR="00CB7716" w:rsidRDefault="00CB7716" w:rsidP="00370FB8">
      <w:pPr>
        <w:spacing w:after="240"/>
      </w:pPr>
      <w:r>
        <w:t xml:space="preserve">These food safety training requirements are intended to ensure that food handlers have the food safety skills and knowledge required to handle foods that support the growth of pathogenic microorganisms. </w:t>
      </w:r>
      <w:bookmarkStart w:id="196" w:name="_Int_HHwebQ2h"/>
      <w:r>
        <w:t>In particular, businesses</w:t>
      </w:r>
      <w:bookmarkEnd w:id="196"/>
      <w:r>
        <w:t xml:space="preserve"> are able to recognise prior learning, such as competency-based food safety training, as an alternative to requiring the food handler to complete a food safety training course. </w:t>
      </w:r>
    </w:p>
    <w:p w14:paraId="7E3ECB0C" w14:textId="597FCFAA" w:rsidR="00CB7716" w:rsidRPr="00F84A9E" w:rsidRDefault="00CB7716" w:rsidP="00370FB8">
      <w:pPr>
        <w:spacing w:after="240"/>
      </w:pPr>
      <w:r>
        <w:t xml:space="preserve">Both category one and category two businesses (as defined in sections 3.2.2A—6 and 3.2.2A—7 above) would have to comply with these food safety training requirements (see section 3.2.2A—8 and 3.2.2A—9 above). </w:t>
      </w:r>
    </w:p>
    <w:p w14:paraId="138F12B3" w14:textId="72A16644" w:rsidR="00CB7716" w:rsidRDefault="00CB7716" w:rsidP="00370FB8">
      <w:pPr>
        <w:spacing w:after="240"/>
      </w:pPr>
      <w:r>
        <w:rPr>
          <w:b/>
          <w:bCs/>
        </w:rPr>
        <w:t>Section</w:t>
      </w:r>
      <w:r w:rsidRPr="00373C88">
        <w:rPr>
          <w:bCs/>
        </w:rPr>
        <w:t xml:space="preserve"> </w:t>
      </w:r>
      <w:r w:rsidRPr="00E03E6A">
        <w:rPr>
          <w:b/>
          <w:bCs/>
        </w:rPr>
        <w:t>3.2.2A—</w:t>
      </w:r>
      <w:r>
        <w:rPr>
          <w:b/>
          <w:bCs/>
        </w:rPr>
        <w:t>11</w:t>
      </w:r>
      <w:r w:rsidR="00E97AB5">
        <w:rPr>
          <w:b/>
          <w:bCs/>
        </w:rPr>
        <w:t xml:space="preserve">: </w:t>
      </w:r>
      <w:r w:rsidR="00E97AB5" w:rsidRPr="00574F1C">
        <w:rPr>
          <w:bCs/>
        </w:rPr>
        <w:t>This provision</w:t>
      </w:r>
      <w:r>
        <w:rPr>
          <w:b/>
          <w:bCs/>
        </w:rPr>
        <w:t xml:space="preserve"> </w:t>
      </w:r>
      <w:r>
        <w:rPr>
          <w:bCs/>
        </w:rPr>
        <w:t xml:space="preserve">sets out requirements for food businesses in relation to the </w:t>
      </w:r>
      <w:r>
        <w:t>supervision of food handlers (supervision requirements).</w:t>
      </w:r>
      <w:r w:rsidR="00E97AB5">
        <w:rPr>
          <w:b/>
        </w:rPr>
        <w:t xml:space="preserve"> </w:t>
      </w:r>
      <w:r w:rsidR="00E97AB5" w:rsidRPr="00574F1C">
        <w:t>It</w:t>
      </w:r>
      <w:r>
        <w:t xml:space="preserve"> provides that the food business must:</w:t>
      </w:r>
    </w:p>
    <w:p w14:paraId="72CD0D47" w14:textId="77777777" w:rsidR="00CB7716" w:rsidRDefault="00CB7716" w:rsidP="00370FB8">
      <w:pPr>
        <w:pStyle w:val="ListParagraph"/>
        <w:numPr>
          <w:ilvl w:val="0"/>
          <w:numId w:val="52"/>
        </w:numPr>
        <w:spacing w:after="240"/>
      </w:pPr>
      <w:r>
        <w:t xml:space="preserve">appoint a food safety supervisor </w:t>
      </w:r>
      <w:r w:rsidRPr="00D41B5E">
        <w:rPr>
          <w:i/>
        </w:rPr>
        <w:t>before</w:t>
      </w:r>
      <w:r>
        <w:t xml:space="preserve"> engaging in a prescribed activity; and</w:t>
      </w:r>
    </w:p>
    <w:p w14:paraId="3F835C19" w14:textId="77777777" w:rsidR="00CB7716" w:rsidRPr="0048524F" w:rsidRDefault="00CB7716" w:rsidP="00370FB8">
      <w:pPr>
        <w:pStyle w:val="ListParagraph"/>
        <w:numPr>
          <w:ilvl w:val="0"/>
          <w:numId w:val="52"/>
        </w:numPr>
        <w:spacing w:after="240"/>
        <w:rPr>
          <w:bCs/>
        </w:rPr>
      </w:pPr>
      <w:r>
        <w:t xml:space="preserve">ensure that the food safety supervisor is reasonably available to advise and supervise each food handler engaged in that prescribed activity. </w:t>
      </w:r>
    </w:p>
    <w:p w14:paraId="2D70F5F0" w14:textId="08A04937" w:rsidR="00CB7716" w:rsidRPr="00D41B5E" w:rsidRDefault="00CB7716" w:rsidP="00370FB8">
      <w:pPr>
        <w:spacing w:after="240"/>
        <w:rPr>
          <w:bCs/>
        </w:rPr>
      </w:pPr>
      <w:r>
        <w:t xml:space="preserve">‘Food safety supervisor’ is defined in section 3.2.2A—2 (see above). What constitutes a ‘prescribed activity’ is set out in </w:t>
      </w:r>
      <w:r>
        <w:rPr>
          <w:bCs/>
        </w:rPr>
        <w:t xml:space="preserve">section 3.2.2A—5 (see above). </w:t>
      </w:r>
      <w:r>
        <w:t xml:space="preserve">‘Food business’ and ‘handling’ are defined in clause 2 of Standard 3.1.1. </w:t>
      </w:r>
    </w:p>
    <w:p w14:paraId="6197BD45" w14:textId="77777777" w:rsidR="00CB7716" w:rsidRDefault="00CB7716" w:rsidP="00370FB8">
      <w:pPr>
        <w:spacing w:after="240"/>
      </w:pPr>
      <w:r w:rsidRPr="00ED5D65">
        <w:t xml:space="preserve">A </w:t>
      </w:r>
      <w:r>
        <w:t>‘</w:t>
      </w:r>
      <w:r w:rsidRPr="00ED5D65">
        <w:t>food safety supervisor</w:t>
      </w:r>
      <w:r>
        <w:t xml:space="preserve">’ </w:t>
      </w:r>
      <w:r w:rsidRPr="00ED5D65">
        <w:t xml:space="preserve">has an important role in fostering a positive food safety culture, imparting skills and knowledge and improving awareness of foodborne illness and its impacts. </w:t>
      </w:r>
      <w:r>
        <w:t>The business must not undertake any ‘prescribed activities’</w:t>
      </w:r>
      <w:r w:rsidRPr="00ED5D65">
        <w:t xml:space="preserve"> until </w:t>
      </w:r>
      <w:r>
        <w:t>a</w:t>
      </w:r>
      <w:r w:rsidRPr="00ED5D65">
        <w:t xml:space="preserve"> </w:t>
      </w:r>
      <w:r>
        <w:t>‘food safety supervisor’ has been appointed.</w:t>
      </w:r>
    </w:p>
    <w:p w14:paraId="1544EC0A" w14:textId="0D8220DB" w:rsidR="00CB7716" w:rsidRPr="00F84A9E" w:rsidRDefault="00CB7716" w:rsidP="00370FB8">
      <w:pPr>
        <w:spacing w:after="240"/>
      </w:pPr>
      <w:r>
        <w:t>Both category one and category two businesses (as defined in sections 3.2.2A—6 and 3.2.2A—7 respectively, above) would have to comply with these supervision requirements (see section 3.2.2A—8 and 3.2.2A—9 above).</w:t>
      </w:r>
    </w:p>
    <w:p w14:paraId="10200BA9" w14:textId="30193CF1" w:rsidR="00CB7716" w:rsidRDefault="00CB7716" w:rsidP="00370FB8">
      <w:pPr>
        <w:spacing w:after="240"/>
      </w:pPr>
      <w:r>
        <w:rPr>
          <w:b/>
          <w:bCs/>
        </w:rPr>
        <w:t xml:space="preserve">Section </w:t>
      </w:r>
      <w:r w:rsidRPr="00E03E6A">
        <w:rPr>
          <w:b/>
          <w:bCs/>
        </w:rPr>
        <w:t>3.2.2A—</w:t>
      </w:r>
      <w:r>
        <w:rPr>
          <w:b/>
          <w:bCs/>
        </w:rPr>
        <w:t>12</w:t>
      </w:r>
      <w:r w:rsidR="00F13010">
        <w:rPr>
          <w:b/>
          <w:bCs/>
        </w:rPr>
        <w:t xml:space="preserve">: </w:t>
      </w:r>
      <w:r w:rsidR="00F13010" w:rsidRPr="00574F1C">
        <w:rPr>
          <w:bCs/>
        </w:rPr>
        <w:t>This provision</w:t>
      </w:r>
      <w:r w:rsidRPr="00574F1C">
        <w:rPr>
          <w:bCs/>
        </w:rPr>
        <w:t xml:space="preserve"> </w:t>
      </w:r>
      <w:r w:rsidRPr="00D41B5E">
        <w:rPr>
          <w:bCs/>
        </w:rPr>
        <w:t>sets out requirements related to</w:t>
      </w:r>
      <w:r>
        <w:rPr>
          <w:b/>
          <w:bCs/>
        </w:rPr>
        <w:t xml:space="preserve"> </w:t>
      </w:r>
      <w:r>
        <w:t>substantiating the food safety management of prescribed activities (substantiation requirements).</w:t>
      </w:r>
    </w:p>
    <w:p w14:paraId="386C0592" w14:textId="3E3CB0D5" w:rsidR="00CB7716" w:rsidRDefault="00EE1F47" w:rsidP="00370FB8">
      <w:pPr>
        <w:spacing w:after="240"/>
      </w:pPr>
      <w:r w:rsidRPr="00574F1C">
        <w:t xml:space="preserve">Subsection (1) </w:t>
      </w:r>
      <w:r w:rsidR="00CB7716" w:rsidRPr="00EE1F47">
        <w:t>requires that</w:t>
      </w:r>
      <w:r w:rsidR="00CB7716">
        <w:t xml:space="preserve">, </w:t>
      </w:r>
      <w:r w:rsidR="00CB7716" w:rsidRPr="00D41B5E">
        <w:rPr>
          <w:i/>
        </w:rPr>
        <w:t xml:space="preserve">subject to </w:t>
      </w:r>
      <w:r w:rsidR="00711A87">
        <w:rPr>
          <w:i/>
        </w:rPr>
        <w:t>sub</w:t>
      </w:r>
      <w:r w:rsidR="00CB7716" w:rsidRPr="00D41B5E">
        <w:rPr>
          <w:i/>
        </w:rPr>
        <w:t>section 3</w:t>
      </w:r>
      <w:r w:rsidR="00CB7716" w:rsidRPr="004B10E4">
        <w:t xml:space="preserve">, </w:t>
      </w:r>
      <w:r w:rsidR="00CB7716">
        <w:t>a</w:t>
      </w:r>
      <w:r w:rsidR="00CB7716" w:rsidRPr="004B10E4">
        <w:t xml:space="preserve"> </w:t>
      </w:r>
      <w:r w:rsidR="00CB7716">
        <w:t>f</w:t>
      </w:r>
      <w:r w:rsidR="00CB7716" w:rsidRPr="004B10E4">
        <w:t>ood business engag</w:t>
      </w:r>
      <w:r w:rsidR="00CB7716">
        <w:t>ing</w:t>
      </w:r>
      <w:r w:rsidR="00CB7716" w:rsidRPr="004B10E4">
        <w:t xml:space="preserve"> in a prescribed activity</w:t>
      </w:r>
      <w:r w:rsidR="00CB7716">
        <w:t xml:space="preserve"> </w:t>
      </w:r>
      <w:r w:rsidR="00CB7716" w:rsidRPr="004B10E4">
        <w:t xml:space="preserve">must make a record that substantiates any matter that the prescribed provisions </w:t>
      </w:r>
      <w:r w:rsidR="00CB7716">
        <w:t xml:space="preserve">(as listed in subsection 3.2.2A—12(4) below) </w:t>
      </w:r>
      <w:r w:rsidR="00CB7716" w:rsidRPr="004B10E4">
        <w:t>require in relation to that prescribed activity.</w:t>
      </w:r>
    </w:p>
    <w:p w14:paraId="231E8E34" w14:textId="77777777" w:rsidR="00CB7716" w:rsidRDefault="00CB7716" w:rsidP="00370FB8">
      <w:pPr>
        <w:spacing w:after="240"/>
      </w:pPr>
      <w:r>
        <w:rPr>
          <w:bCs/>
        </w:rPr>
        <w:lastRenderedPageBreak/>
        <w:t>T</w:t>
      </w:r>
      <w:r w:rsidRPr="00D41B5E">
        <w:rPr>
          <w:bCs/>
        </w:rPr>
        <w:t>h</w:t>
      </w:r>
      <w:r>
        <w:rPr>
          <w:bCs/>
        </w:rPr>
        <w:t>is</w:t>
      </w:r>
      <w:r w:rsidRPr="00D41B5E">
        <w:rPr>
          <w:bCs/>
        </w:rPr>
        <w:t xml:space="preserve"> requirement does not apply</w:t>
      </w:r>
      <w:r>
        <w:rPr>
          <w:b/>
          <w:bCs/>
        </w:rPr>
        <w:t xml:space="preserve"> </w:t>
      </w:r>
      <w:r>
        <w:t xml:space="preserve">to the handling of food for or at a fund raising event. </w:t>
      </w:r>
    </w:p>
    <w:p w14:paraId="66422466" w14:textId="6195DCFF" w:rsidR="00CB7716" w:rsidRDefault="00CB7716" w:rsidP="00370FB8">
      <w:pPr>
        <w:spacing w:after="240"/>
        <w:rPr>
          <w:bCs/>
        </w:rPr>
      </w:pPr>
      <w:r>
        <w:t xml:space="preserve">‘Fund raising event’ is defined in section 1.1.2—2 of the Code. ‘Food business’ and ‘handling’ are defined in clause 2 of Standard 3.1.1. What constitutes a ‘prescribed activity’ is set out in </w:t>
      </w:r>
      <w:r>
        <w:rPr>
          <w:bCs/>
        </w:rPr>
        <w:t>section 3.2.2A—5 (see above).</w:t>
      </w:r>
    </w:p>
    <w:p w14:paraId="127B5026" w14:textId="332F700D" w:rsidR="00CB7716" w:rsidRPr="00A42A1A" w:rsidRDefault="00EE1F47" w:rsidP="00370FB8">
      <w:pPr>
        <w:spacing w:after="240"/>
        <w:rPr>
          <w:bCs/>
        </w:rPr>
      </w:pPr>
      <w:r w:rsidRPr="00574F1C">
        <w:t>Subsection (2)</w:t>
      </w:r>
      <w:r w:rsidR="00CB7716">
        <w:t xml:space="preserve"> requires t</w:t>
      </w:r>
      <w:r w:rsidR="00CB7716" w:rsidRPr="00A42A1A">
        <w:rPr>
          <w:bCs/>
        </w:rPr>
        <w:t xml:space="preserve">he food business </w:t>
      </w:r>
      <w:r w:rsidR="00CB7716">
        <w:rPr>
          <w:bCs/>
        </w:rPr>
        <w:t xml:space="preserve">concerned </w:t>
      </w:r>
      <w:r w:rsidR="00CB7716" w:rsidRPr="00A42A1A">
        <w:rPr>
          <w:bCs/>
        </w:rPr>
        <w:t xml:space="preserve">must keep a record required by subsection </w:t>
      </w:r>
      <w:r w:rsidR="00CB7716">
        <w:t>3.2.2A—12</w:t>
      </w:r>
      <w:r w:rsidR="00CB7716" w:rsidRPr="00A42A1A">
        <w:rPr>
          <w:bCs/>
        </w:rPr>
        <w:t xml:space="preserve">(1) for </w:t>
      </w:r>
      <w:r w:rsidR="00CB7716">
        <w:rPr>
          <w:bCs/>
        </w:rPr>
        <w:t>three</w:t>
      </w:r>
      <w:r w:rsidR="00CB7716" w:rsidRPr="00A42A1A">
        <w:rPr>
          <w:bCs/>
        </w:rPr>
        <w:t xml:space="preserve"> months after the business makes the record.</w:t>
      </w:r>
    </w:p>
    <w:p w14:paraId="1FBE7548" w14:textId="1E317357" w:rsidR="00CB7716" w:rsidRDefault="00EE1F47" w:rsidP="00370FB8">
      <w:pPr>
        <w:spacing w:after="240"/>
        <w:rPr>
          <w:bCs/>
        </w:rPr>
      </w:pPr>
      <w:r w:rsidRPr="00574F1C">
        <w:rPr>
          <w:bCs/>
        </w:rPr>
        <w:t>Subsection (3)</w:t>
      </w:r>
      <w:r w:rsidR="00CB7716">
        <w:t xml:space="preserve"> provides that the requirement in </w:t>
      </w:r>
      <w:r w:rsidR="00CB7716">
        <w:rPr>
          <w:bCs/>
        </w:rPr>
        <w:t>s</w:t>
      </w:r>
      <w:r w:rsidR="00CB7716" w:rsidRPr="00A42A1A">
        <w:rPr>
          <w:bCs/>
        </w:rPr>
        <w:t xml:space="preserve">ubsection </w:t>
      </w:r>
      <w:r w:rsidR="00CB7716">
        <w:t>3.2.2A—12</w:t>
      </w:r>
      <w:r w:rsidR="00CB7716" w:rsidRPr="00A42A1A">
        <w:rPr>
          <w:bCs/>
        </w:rPr>
        <w:t>(1) does not apply to a food business that can demonstrate to the</w:t>
      </w:r>
      <w:r w:rsidR="00CB7716">
        <w:rPr>
          <w:bCs/>
        </w:rPr>
        <w:t xml:space="preserve"> reasonable satisfaction of an </w:t>
      </w:r>
      <w:r w:rsidR="00CB7716" w:rsidRPr="00A42A1A">
        <w:rPr>
          <w:bCs/>
        </w:rPr>
        <w:t>authorised officer</w:t>
      </w:r>
      <w:r w:rsidR="00CB7716">
        <w:rPr>
          <w:bCs/>
        </w:rPr>
        <w:t>,</w:t>
      </w:r>
      <w:r w:rsidR="00CB7716" w:rsidRPr="00A42A1A">
        <w:rPr>
          <w:bCs/>
        </w:rPr>
        <w:t xml:space="preserve"> on request</w:t>
      </w:r>
      <w:r w:rsidR="00CB7716">
        <w:rPr>
          <w:bCs/>
        </w:rPr>
        <w:t>,</w:t>
      </w:r>
      <w:r w:rsidR="00CB7716" w:rsidRPr="00A42A1A">
        <w:rPr>
          <w:bCs/>
        </w:rPr>
        <w:t xml:space="preserve"> that the business has complied with each of the prescribed provisions</w:t>
      </w:r>
      <w:r w:rsidR="00CB7716">
        <w:rPr>
          <w:bCs/>
        </w:rPr>
        <w:t>.</w:t>
      </w:r>
    </w:p>
    <w:p w14:paraId="68A61CD3" w14:textId="35B331B3" w:rsidR="00CB7716" w:rsidRDefault="00CB7716" w:rsidP="00370FB8">
      <w:pPr>
        <w:spacing w:after="240"/>
        <w:rPr>
          <w:bCs/>
        </w:rPr>
      </w:pPr>
      <w:r>
        <w:rPr>
          <w:bCs/>
        </w:rPr>
        <w:t xml:space="preserve">‘Authorised officer’ </w:t>
      </w:r>
      <w:r>
        <w:t>is defined in section 1.1.2—2 of the Code. ‘Prescribed provisions’ are listed in subsection 3.2.2A—12(4) (see below).</w:t>
      </w:r>
    </w:p>
    <w:p w14:paraId="47ACCA68" w14:textId="79FCDC32" w:rsidR="00CB7716" w:rsidRDefault="00CB7716" w:rsidP="00370FB8">
      <w:pPr>
        <w:spacing w:after="240"/>
      </w:pPr>
      <w:r>
        <w:t xml:space="preserve">The intent of subsection 3.2.2A—12(3) is that businesses engage with authorised officers to determine appropriate alternatives. These could include, for example, providing standard operating procedures or physically demonstrating an activity (e.g. sanitising a piece of equipment), to the reasonable satisfaction of an authorised officer. </w:t>
      </w:r>
    </w:p>
    <w:p w14:paraId="4ADDC602" w14:textId="265C346B" w:rsidR="00CB7716" w:rsidRPr="00A42A1A" w:rsidRDefault="00EE1F47" w:rsidP="00370FB8">
      <w:pPr>
        <w:spacing w:after="240"/>
        <w:rPr>
          <w:bCs/>
        </w:rPr>
      </w:pPr>
      <w:r w:rsidRPr="00574F1C">
        <w:rPr>
          <w:bCs/>
        </w:rPr>
        <w:t>Subsection (4)</w:t>
      </w:r>
      <w:r w:rsidR="00CB7716">
        <w:t xml:space="preserve"> </w:t>
      </w:r>
      <w:r w:rsidR="00CB7716">
        <w:rPr>
          <w:bCs/>
        </w:rPr>
        <w:t xml:space="preserve">lists </w:t>
      </w:r>
      <w:r w:rsidR="00CB7716" w:rsidRPr="00A42A1A">
        <w:rPr>
          <w:bCs/>
        </w:rPr>
        <w:t xml:space="preserve">the prescribed provisions </w:t>
      </w:r>
      <w:r w:rsidR="00CB7716">
        <w:rPr>
          <w:bCs/>
        </w:rPr>
        <w:t>f</w:t>
      </w:r>
      <w:r w:rsidR="00CB7716" w:rsidRPr="00A42A1A">
        <w:rPr>
          <w:bCs/>
        </w:rPr>
        <w:t>or the purposes of section</w:t>
      </w:r>
      <w:r w:rsidR="00CB7716">
        <w:rPr>
          <w:bCs/>
        </w:rPr>
        <w:t xml:space="preserve"> 3.2.2A—12. ‘Prescribed provisions’ are the following provisions in Standard 3.2.2:</w:t>
      </w:r>
    </w:p>
    <w:p w14:paraId="3902067B" w14:textId="77777777" w:rsidR="00CB7716" w:rsidRPr="00605234" w:rsidRDefault="00CB7716" w:rsidP="00370FB8">
      <w:pPr>
        <w:pStyle w:val="ListParagraph"/>
        <w:numPr>
          <w:ilvl w:val="0"/>
          <w:numId w:val="53"/>
        </w:numPr>
        <w:spacing w:after="240"/>
        <w:rPr>
          <w:bCs/>
        </w:rPr>
      </w:pPr>
      <w:r w:rsidRPr="00605234">
        <w:rPr>
          <w:bCs/>
        </w:rPr>
        <w:t>sub</w:t>
      </w:r>
      <w:r>
        <w:rPr>
          <w:bCs/>
        </w:rPr>
        <w:t>clause</w:t>
      </w:r>
      <w:r w:rsidRPr="00605234">
        <w:rPr>
          <w:bCs/>
        </w:rPr>
        <w:t xml:space="preserve"> 5(3); </w:t>
      </w:r>
    </w:p>
    <w:p w14:paraId="1DBF68AA" w14:textId="77777777" w:rsidR="00CB7716" w:rsidRPr="00605234" w:rsidRDefault="00CB7716" w:rsidP="00370FB8">
      <w:pPr>
        <w:pStyle w:val="ListParagraph"/>
        <w:numPr>
          <w:ilvl w:val="0"/>
          <w:numId w:val="53"/>
        </w:numPr>
        <w:spacing w:after="240"/>
        <w:rPr>
          <w:bCs/>
        </w:rPr>
      </w:pPr>
      <w:r w:rsidRPr="00605234">
        <w:rPr>
          <w:bCs/>
        </w:rPr>
        <w:t>paragraph 6(2)(a);</w:t>
      </w:r>
    </w:p>
    <w:p w14:paraId="531EFC47" w14:textId="77777777" w:rsidR="00CB7716" w:rsidRPr="007841CE" w:rsidRDefault="00CB7716" w:rsidP="00370FB8">
      <w:pPr>
        <w:pStyle w:val="ListParagraph"/>
        <w:numPr>
          <w:ilvl w:val="0"/>
          <w:numId w:val="53"/>
        </w:numPr>
        <w:spacing w:after="240"/>
        <w:rPr>
          <w:bCs/>
        </w:rPr>
      </w:pPr>
      <w:r w:rsidRPr="00605234">
        <w:rPr>
          <w:bCs/>
        </w:rPr>
        <w:t>paragraph 7(1)(b)(ii);</w:t>
      </w:r>
    </w:p>
    <w:p w14:paraId="66C1044F" w14:textId="77777777" w:rsidR="00CB7716" w:rsidRPr="002A7C1E" w:rsidRDefault="00CB7716" w:rsidP="00370FB8">
      <w:pPr>
        <w:pStyle w:val="ListParagraph"/>
        <w:numPr>
          <w:ilvl w:val="0"/>
          <w:numId w:val="53"/>
        </w:numPr>
        <w:spacing w:after="240"/>
        <w:rPr>
          <w:bCs/>
        </w:rPr>
      </w:pPr>
      <w:r w:rsidRPr="002A7C1E">
        <w:rPr>
          <w:bCs/>
        </w:rPr>
        <w:t>sub</w:t>
      </w:r>
      <w:r>
        <w:rPr>
          <w:bCs/>
        </w:rPr>
        <w:t>clause</w:t>
      </w:r>
      <w:r w:rsidRPr="002A7C1E">
        <w:rPr>
          <w:bCs/>
        </w:rPr>
        <w:t xml:space="preserve"> 7(2);</w:t>
      </w:r>
    </w:p>
    <w:p w14:paraId="15CF46B5" w14:textId="77777777" w:rsidR="00CB7716" w:rsidRPr="002A7C1E" w:rsidRDefault="00CB7716" w:rsidP="00370FB8">
      <w:pPr>
        <w:pStyle w:val="ListParagraph"/>
        <w:numPr>
          <w:ilvl w:val="0"/>
          <w:numId w:val="53"/>
        </w:numPr>
        <w:spacing w:after="240"/>
        <w:rPr>
          <w:bCs/>
        </w:rPr>
      </w:pPr>
      <w:r w:rsidRPr="002A7C1E">
        <w:rPr>
          <w:bCs/>
        </w:rPr>
        <w:t>sub</w:t>
      </w:r>
      <w:r>
        <w:rPr>
          <w:bCs/>
        </w:rPr>
        <w:t>clause</w:t>
      </w:r>
      <w:r w:rsidRPr="002A7C1E">
        <w:rPr>
          <w:bCs/>
        </w:rPr>
        <w:t xml:space="preserve"> 7(3);</w:t>
      </w:r>
    </w:p>
    <w:p w14:paraId="4BD858D5" w14:textId="77777777" w:rsidR="00CB7716" w:rsidRPr="002A7C1E" w:rsidRDefault="00CB7716" w:rsidP="00370FB8">
      <w:pPr>
        <w:pStyle w:val="ListParagraph"/>
        <w:numPr>
          <w:ilvl w:val="0"/>
          <w:numId w:val="53"/>
        </w:numPr>
        <w:spacing w:after="240"/>
        <w:rPr>
          <w:bCs/>
        </w:rPr>
      </w:pPr>
      <w:r w:rsidRPr="002A7C1E">
        <w:rPr>
          <w:bCs/>
        </w:rPr>
        <w:t>sub</w:t>
      </w:r>
      <w:r>
        <w:rPr>
          <w:bCs/>
        </w:rPr>
        <w:t>clause</w:t>
      </w:r>
      <w:r w:rsidRPr="002A7C1E">
        <w:rPr>
          <w:bCs/>
        </w:rPr>
        <w:t xml:space="preserve"> 7(4);</w:t>
      </w:r>
    </w:p>
    <w:p w14:paraId="45D4BD5E" w14:textId="77777777" w:rsidR="00CB7716" w:rsidRPr="00B17A72" w:rsidRDefault="00CB7716" w:rsidP="00370FB8">
      <w:pPr>
        <w:pStyle w:val="ListParagraph"/>
        <w:numPr>
          <w:ilvl w:val="0"/>
          <w:numId w:val="53"/>
        </w:numPr>
        <w:spacing w:after="240"/>
        <w:rPr>
          <w:bCs/>
        </w:rPr>
      </w:pPr>
      <w:r w:rsidRPr="00B17A72">
        <w:rPr>
          <w:bCs/>
        </w:rPr>
        <w:t>paragraph 8(5)(a);</w:t>
      </w:r>
    </w:p>
    <w:p w14:paraId="0D719EC3" w14:textId="77777777" w:rsidR="00CB7716" w:rsidRPr="003E685B" w:rsidRDefault="00CB7716" w:rsidP="00370FB8">
      <w:pPr>
        <w:pStyle w:val="ListParagraph"/>
        <w:numPr>
          <w:ilvl w:val="0"/>
          <w:numId w:val="53"/>
        </w:numPr>
        <w:spacing w:after="240"/>
      </w:pPr>
      <w:r w:rsidRPr="003E685B">
        <w:t>paragraph 10(b); and</w:t>
      </w:r>
    </w:p>
    <w:p w14:paraId="5AE4499F" w14:textId="77777777" w:rsidR="00CB7716" w:rsidRPr="002A7C1E" w:rsidRDefault="00CB7716" w:rsidP="00370FB8">
      <w:pPr>
        <w:pStyle w:val="ListParagraph"/>
        <w:numPr>
          <w:ilvl w:val="0"/>
          <w:numId w:val="53"/>
        </w:numPr>
        <w:spacing w:after="240"/>
        <w:rPr>
          <w:bCs/>
        </w:rPr>
      </w:pPr>
      <w:r>
        <w:rPr>
          <w:bCs/>
        </w:rPr>
        <w:t>clause</w:t>
      </w:r>
      <w:r w:rsidRPr="002A7C1E">
        <w:rPr>
          <w:bCs/>
        </w:rPr>
        <w:t xml:space="preserve"> 20.</w:t>
      </w:r>
    </w:p>
    <w:p w14:paraId="02E94E1A" w14:textId="77777777" w:rsidR="00CB7716" w:rsidRDefault="00CB7716" w:rsidP="00370FB8">
      <w:pPr>
        <w:spacing w:after="240"/>
      </w:pPr>
      <w:r>
        <w:rPr>
          <w:bCs/>
        </w:rPr>
        <w:t>The prescribed provisions relate to</w:t>
      </w:r>
      <w:r w:rsidRPr="00AF139D">
        <w:t xml:space="preserve"> </w:t>
      </w:r>
      <w:r>
        <w:t xml:space="preserve">such matters as </w:t>
      </w:r>
      <w:r w:rsidRPr="00AF139D">
        <w:t>temperature control</w:t>
      </w:r>
      <w:r>
        <w:t xml:space="preserve"> (during food receipt, storage, cooking/reheating, display and transport)</w:t>
      </w:r>
      <w:r w:rsidRPr="00AF139D">
        <w:t>, food processing and cleaning/sanitising</w:t>
      </w:r>
      <w:r>
        <w:t>,</w:t>
      </w:r>
      <w:r w:rsidRPr="00AF139D">
        <w:t xml:space="preserve"> when </w:t>
      </w:r>
      <w:r>
        <w:t xml:space="preserve">engaging in a prescribed activity. </w:t>
      </w:r>
    </w:p>
    <w:p w14:paraId="4B660027" w14:textId="3141CBC6" w:rsidR="00CB7716" w:rsidRDefault="00CB7716" w:rsidP="00370FB8">
      <w:pPr>
        <w:spacing w:after="240"/>
      </w:pPr>
      <w:r>
        <w:t>‘Process’, in relation to food, is defined in section 3.2.2A—2 (see above).</w:t>
      </w:r>
    </w:p>
    <w:p w14:paraId="2320C7AA" w14:textId="0492D5BF" w:rsidR="00CB7716" w:rsidRDefault="00CB7716" w:rsidP="00370FB8">
      <w:pPr>
        <w:spacing w:after="240"/>
        <w:rPr>
          <w:bCs/>
          <w:kern w:val="32"/>
        </w:rPr>
      </w:pPr>
      <w:r>
        <w:t xml:space="preserve">Only category one businesses (as defined in section 3.2.2A—6 above) would have to comply with these substantiation requirements (see section 3.2.2A—8). </w:t>
      </w:r>
    </w:p>
    <w:p w14:paraId="3B989A07" w14:textId="273FABAC" w:rsidR="00CB7716" w:rsidRDefault="00CB7716" w:rsidP="00370FB8">
      <w:pPr>
        <w:spacing w:after="240"/>
        <w:rPr>
          <w:bCs/>
          <w:kern w:val="32"/>
        </w:rPr>
      </w:pPr>
      <w:r>
        <w:rPr>
          <w:bCs/>
          <w:kern w:val="32"/>
        </w:rPr>
        <w:t xml:space="preserve">However, if a business engages in activities of both a category one and category two business </w:t>
      </w:r>
      <w:r>
        <w:t>(see sections 3.2.2A—6 and 3.2.2A—7 respectively, above)</w:t>
      </w:r>
      <w:r>
        <w:rPr>
          <w:bCs/>
          <w:kern w:val="32"/>
        </w:rPr>
        <w:t>, then that business would also have to comply with these substantiation requirements.</w:t>
      </w:r>
    </w:p>
    <w:p w14:paraId="6859CD24" w14:textId="0597074E" w:rsidR="00CB7716" w:rsidRDefault="00CB7716" w:rsidP="00370FB8">
      <w:pPr>
        <w:spacing w:after="240"/>
      </w:pPr>
      <w:r w:rsidRPr="6A61D147">
        <w:rPr>
          <w:b/>
          <w:bCs/>
          <w:i/>
          <w:iCs/>
        </w:rPr>
        <w:t>Transitional arrangements</w:t>
      </w:r>
    </w:p>
    <w:p w14:paraId="7C220BC3" w14:textId="26432091" w:rsidR="00CB7716" w:rsidRDefault="00EE1F47" w:rsidP="006813E9">
      <w:pPr>
        <w:spacing w:after="240"/>
      </w:pPr>
      <w:r w:rsidRPr="00EE1F47">
        <w:rPr>
          <w:rFonts w:cs="Arial"/>
          <w:szCs w:val="22"/>
          <w:lang w:val="en-AU" w:eastAsia="en-GB" w:bidi="ar-SA"/>
        </w:rPr>
        <w:t xml:space="preserve">Section 93 of the FSANZ Act provides that a Standard will take effect on the day specified in the notice given under section 92 of that Act in relation to that Standard. </w:t>
      </w:r>
      <w:r w:rsidRPr="00574F1C">
        <w:rPr>
          <w:rFonts w:cs="Arial"/>
          <w:color w:val="333333"/>
          <w:szCs w:val="22"/>
          <w:shd w:val="clear" w:color="auto" w:fill="FFFFFF"/>
        </w:rPr>
        <w:t xml:space="preserve">The notice given under </w:t>
      </w:r>
      <w:r w:rsidRPr="00EE1F47">
        <w:rPr>
          <w:rFonts w:cs="Arial"/>
          <w:szCs w:val="22"/>
          <w:lang w:val="en-AU" w:eastAsia="en-GB" w:bidi="ar-SA"/>
        </w:rPr>
        <w:t>section 92 of the FSANZ Act</w:t>
      </w:r>
      <w:r>
        <w:rPr>
          <w:rFonts w:cs="Arial"/>
          <w:szCs w:val="22"/>
          <w:lang w:val="en-AU" w:eastAsia="en-GB" w:bidi="ar-SA"/>
        </w:rPr>
        <w:t xml:space="preserve"> in relation to Standard </w:t>
      </w:r>
      <w:r>
        <w:rPr>
          <w:lang w:val="en-AU" w:eastAsia="en-GB" w:bidi="ar-SA"/>
        </w:rPr>
        <w:t>3.2.2A</w:t>
      </w:r>
      <w:r>
        <w:rPr>
          <w:rFonts w:cs="Arial"/>
          <w:szCs w:val="22"/>
        </w:rPr>
        <w:t xml:space="preserve"> </w:t>
      </w:r>
      <w:r w:rsidR="00CB7716">
        <w:rPr>
          <w:lang w:val="en-AU" w:eastAsia="en-GB" w:bidi="ar-SA"/>
        </w:rPr>
        <w:t xml:space="preserve">states that </w:t>
      </w:r>
      <w:r>
        <w:rPr>
          <w:lang w:val="en-AU" w:eastAsia="en-GB" w:bidi="ar-SA"/>
        </w:rPr>
        <w:t xml:space="preserve">that </w:t>
      </w:r>
      <w:r w:rsidR="00CB7716">
        <w:rPr>
          <w:lang w:val="en-AU" w:eastAsia="en-GB" w:bidi="ar-SA"/>
        </w:rPr>
        <w:t>Standard commences on a date 12 months after gazettal. This means that, if approved, Standard 3.2.2A will commence 12 months after its date of gazettal and that relevant businesses will have a 12 month period from gazettal in which to prepare for that Standard’s requirements.</w:t>
      </w:r>
      <w:r w:rsidR="00CB7716">
        <w:br w:type="page"/>
      </w:r>
    </w:p>
    <w:p w14:paraId="412A32A6" w14:textId="01A62AC6" w:rsidR="00CB7716" w:rsidRPr="002C1C9D" w:rsidRDefault="00CB7716" w:rsidP="00574F1C">
      <w:pPr>
        <w:pStyle w:val="FSCh5SchItem"/>
        <w:ind w:left="0" w:firstLine="0"/>
      </w:pPr>
      <w:r>
        <w:lastRenderedPageBreak/>
        <w:t>Food Standards (Proposal P1053 – Food Safety Management Tools – Consequential Amendments) Variation</w:t>
      </w:r>
    </w:p>
    <w:p w14:paraId="32345CAE" w14:textId="4F9856CA" w:rsidR="00CB7716" w:rsidRDefault="00CB7716" w:rsidP="6A61D147">
      <w:pPr>
        <w:spacing w:before="360" w:after="60"/>
        <w:rPr>
          <w:b/>
          <w:bCs/>
          <w:lang w:val="en-AU" w:eastAsia="en-GB" w:bidi="ar-SA"/>
        </w:rPr>
      </w:pPr>
      <w:r w:rsidRPr="6A61D147">
        <w:rPr>
          <w:b/>
          <w:bCs/>
          <w:lang w:val="en-AU" w:eastAsia="en-GB" w:bidi="ar-SA"/>
        </w:rPr>
        <w:t>1.</w:t>
      </w:r>
      <w:r>
        <w:tab/>
      </w:r>
      <w:r w:rsidRPr="6A61D147">
        <w:rPr>
          <w:b/>
          <w:bCs/>
          <w:lang w:val="en-AU" w:eastAsia="en-GB" w:bidi="ar-SA"/>
        </w:rPr>
        <w:t>Authority</w:t>
      </w:r>
    </w:p>
    <w:p w14:paraId="7680185B" w14:textId="17DA1B83" w:rsidR="00CB7716" w:rsidRDefault="00CB7716" w:rsidP="00574F1C">
      <w:pPr>
        <w:spacing w:before="360" w:after="60"/>
      </w:pPr>
      <w:r>
        <w:t xml:space="preserve">Section 13 of the </w:t>
      </w:r>
      <w:r w:rsidRPr="6A61D147">
        <w:rPr>
          <w:i/>
          <w:iCs/>
        </w:rPr>
        <w:t>Food Standards Australia New Zealand Act 1991</w:t>
      </w:r>
      <w:r>
        <w:t xml:space="preserve"> (the FSANZ Act) provides that the functions of Food Standards Australia New Zealand (the Authority) include the development of standards and variations of standards for inclusion in the </w:t>
      </w:r>
      <w:r w:rsidRPr="6A61D147">
        <w:rPr>
          <w:i/>
          <w:iCs/>
        </w:rPr>
        <w:t>Australia New Zealand Food Standards Code</w:t>
      </w:r>
      <w:r>
        <w:t xml:space="preserve"> (the Code).</w:t>
      </w:r>
    </w:p>
    <w:p w14:paraId="2B336035" w14:textId="1C4C6D88" w:rsidR="00CB7716" w:rsidRDefault="00CB7716" w:rsidP="00574F1C">
      <w:pPr>
        <w:spacing w:before="360" w:after="60"/>
      </w:pPr>
      <w: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p>
    <w:p w14:paraId="6CFEA28C" w14:textId="38EDAB67" w:rsidR="00CB7716" w:rsidRPr="00370FB8" w:rsidRDefault="00F13010" w:rsidP="6A61D147">
      <w:pPr>
        <w:widowControl/>
        <w:autoSpaceDE w:val="0"/>
        <w:autoSpaceDN w:val="0"/>
        <w:adjustRightInd w:val="0"/>
        <w:spacing w:before="360" w:after="60"/>
        <w:rPr>
          <w:rFonts w:eastAsia="Calibri" w:cs="Arial"/>
          <w:lang w:val="en-AU" w:bidi="ar-SA"/>
        </w:rPr>
      </w:pPr>
      <w:r w:rsidRPr="6A61D147">
        <w:rPr>
          <w:rFonts w:eastAsia="Calibri" w:cs="Arial"/>
          <w:lang w:val="en-AU" w:bidi="ar-SA"/>
        </w:rPr>
        <w:t xml:space="preserve">The Authority prepared Proposal P1053 to consider mandating </w:t>
      </w:r>
      <w:r>
        <w:t>three food safety management tools</w:t>
      </w:r>
      <w:r w:rsidRPr="6A61D147">
        <w:rPr>
          <w:rFonts w:eastAsia="Calibri" w:cs="Arial"/>
          <w:lang w:val="en-AU" w:bidi="ar-SA"/>
        </w:rPr>
        <w:t xml:space="preserve">. The Authority considered the Proposal in accordance with Division 2 of Part 3 and has approved a draft Standard </w:t>
      </w:r>
      <w:r>
        <w:t xml:space="preserve">and this related </w:t>
      </w:r>
      <w:r w:rsidR="00AB1120">
        <w:t xml:space="preserve">draft </w:t>
      </w:r>
      <w:r>
        <w:t>consequential variation</w:t>
      </w:r>
      <w:r w:rsidR="00CB7716" w:rsidRPr="6A61D147">
        <w:rPr>
          <w:lang w:val="en-AU" w:eastAsia="en-GB" w:bidi="ar-SA"/>
        </w:rPr>
        <w:t>.</w:t>
      </w:r>
    </w:p>
    <w:p w14:paraId="25FF5F2E" w14:textId="5EBC0610" w:rsidR="00AB1120" w:rsidRDefault="00AB1120" w:rsidP="6A61D147">
      <w:pPr>
        <w:spacing w:before="360" w:after="60"/>
        <w:rPr>
          <w:b/>
          <w:bCs/>
          <w:lang w:val="en-AU" w:eastAsia="en-GB" w:bidi="ar-SA"/>
        </w:rPr>
      </w:pPr>
      <w:r w:rsidRPr="6A61D147">
        <w:rPr>
          <w:b/>
          <w:bCs/>
          <w:lang w:val="en-AU" w:eastAsia="en-GB" w:bidi="ar-SA"/>
        </w:rPr>
        <w:t>2.</w:t>
      </w:r>
      <w:r>
        <w:tab/>
      </w:r>
      <w:r w:rsidRPr="6A61D147">
        <w:rPr>
          <w:b/>
          <w:bCs/>
          <w:lang w:val="en-AU" w:eastAsia="en-GB" w:bidi="ar-SA"/>
        </w:rPr>
        <w:t>Variation is a legislative instrument</w:t>
      </w:r>
    </w:p>
    <w:p w14:paraId="19CB6D96" w14:textId="79797818" w:rsidR="00AB1120" w:rsidRPr="00D00473" w:rsidRDefault="00AB1120" w:rsidP="6A61D147">
      <w:pPr>
        <w:spacing w:before="360" w:after="60"/>
        <w:rPr>
          <w:rFonts w:cs="Arial"/>
          <w:lang w:bidi="ar-SA"/>
        </w:rPr>
      </w:pPr>
      <w:r w:rsidRPr="6A61D147">
        <w:rPr>
          <w:rFonts w:cs="Arial"/>
        </w:rPr>
        <w:t xml:space="preserve">The approved </w:t>
      </w:r>
      <w:r>
        <w:t xml:space="preserve">draft consequential variation </w:t>
      </w:r>
      <w:r w:rsidRPr="6A61D147">
        <w:rPr>
          <w:rFonts w:cs="Arial"/>
        </w:rPr>
        <w:t xml:space="preserve">is a legislative instrument for the purposes of the </w:t>
      </w:r>
      <w:r w:rsidRPr="6A61D147">
        <w:rPr>
          <w:rFonts w:cs="Arial"/>
          <w:i/>
          <w:iCs/>
        </w:rPr>
        <w:t>Legislation Act 2003</w:t>
      </w:r>
      <w:r w:rsidRPr="6A61D147">
        <w:rPr>
          <w:rFonts w:cs="Arial"/>
        </w:rPr>
        <w:t xml:space="preserve"> (see section 94 of the FSANZ Act) and is publicly available on the Federal Register of Legislation (</w:t>
      </w:r>
      <w:hyperlink r:id="rId41">
        <w:r w:rsidRPr="6A61D147">
          <w:rPr>
            <w:rFonts w:cs="Arial"/>
            <w:color w:val="3333FF"/>
            <w:u w:val="single"/>
          </w:rPr>
          <w:t>www.legislation.gov.au</w:t>
        </w:r>
      </w:hyperlink>
      <w:r w:rsidRPr="6A61D147">
        <w:rPr>
          <w:rFonts w:cs="Arial"/>
        </w:rPr>
        <w:t>).</w:t>
      </w:r>
    </w:p>
    <w:p w14:paraId="74293AA2" w14:textId="190E0614" w:rsidR="00AB1120" w:rsidRPr="00FB45C7" w:rsidRDefault="00AB1120" w:rsidP="00574F1C">
      <w:pPr>
        <w:spacing w:before="360" w:after="60"/>
        <w:rPr>
          <w:rFonts w:cs="Arial"/>
        </w:rPr>
      </w:pPr>
      <w:r w:rsidRPr="00D00473">
        <w:rPr>
          <w:rFonts w:cs="Arial"/>
        </w:rPr>
        <w:t xml:space="preserve">This instrument is not subject to the disallowance or sunsetting provisions of the </w:t>
      </w:r>
      <w:r w:rsidRPr="6A61D147">
        <w:rPr>
          <w:rFonts w:cs="Arial"/>
          <w:i/>
          <w:iCs/>
        </w:rPr>
        <w:t xml:space="preserve">Legislation Act 2003. </w:t>
      </w:r>
      <w:r w:rsidRPr="00D00473">
        <w:rPr>
          <w:rFonts w:cs="Arial"/>
        </w:rPr>
        <w:t>Subsections</w:t>
      </w:r>
      <w:r w:rsidRPr="6A61D147">
        <w:rPr>
          <w:rFonts w:cs="Arial"/>
          <w:i/>
          <w:iCs/>
        </w:rPr>
        <w:t xml:space="preserve"> </w:t>
      </w:r>
      <w:r w:rsidRPr="00FB45C7">
        <w:rPr>
          <w:rFonts w:cs="Arial"/>
        </w:rPr>
        <w:t>44(1) and 54(1) of that Act</w:t>
      </w:r>
      <w:r w:rsidRPr="6A61D14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6A61D14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78C12B2D" w14:textId="5796E73A" w:rsidR="00574F1C" w:rsidRDefault="00AB1120" w:rsidP="00574F1C">
      <w:pPr>
        <w:spacing w:before="240" w:after="240"/>
        <w:rPr>
          <w:rFonts w:cs="Arial"/>
          <w:lang w:val="en-AU"/>
        </w:rPr>
      </w:pPr>
      <w:r w:rsidRPr="6A61D147">
        <w:rPr>
          <w:rFonts w:cs="Arial"/>
        </w:rPr>
        <w:t xml:space="preserve">The </w:t>
      </w:r>
      <w:r w:rsidRPr="6A61D147">
        <w:rPr>
          <w:rFonts w:cs="Arial"/>
          <w:lang w:val="en-AU"/>
        </w:rPr>
        <w:t>FSANZ Act</w:t>
      </w:r>
      <w:r w:rsidRPr="6A61D147">
        <w:rPr>
          <w:rFonts w:cs="Arial"/>
          <w:i/>
          <w:iCs/>
          <w:lang w:val="en-AU"/>
        </w:rPr>
        <w:t xml:space="preserve"> </w:t>
      </w:r>
      <w:r w:rsidRPr="6A61D147">
        <w:rPr>
          <w:rFonts w:cs="Arial"/>
          <w:lang w:val="en-AU"/>
        </w:rPr>
        <w:t xml:space="preserve">gives effect to </w:t>
      </w:r>
      <w:r w:rsidRPr="6A61D147">
        <w:rPr>
          <w:rFonts w:cs="Arial"/>
        </w:rPr>
        <w:t xml:space="preserve">an intergovernmental agreement (the Food Regulation Agreement) and facilitates the establishment or operation of an intergovernmental scheme (national uniform food regulation). </w:t>
      </w:r>
      <w:r w:rsidRPr="6A61D147">
        <w:rPr>
          <w:rFonts w:cs="Arial"/>
          <w:lang w:val="en-AU"/>
        </w:rPr>
        <w:t>That Act also</w:t>
      </w:r>
      <w:r w:rsidRPr="6A61D147">
        <w:rPr>
          <w:rFonts w:cs="Arial"/>
          <w:i/>
          <w:iCs/>
          <w:lang w:val="en-AU"/>
        </w:rPr>
        <w:t xml:space="preserve"> </w:t>
      </w:r>
      <w:r w:rsidRPr="6A61D147">
        <w:rPr>
          <w:rFonts w:cs="Arial"/>
          <w:lang w:val="en-AU"/>
        </w:rPr>
        <w:t xml:space="preserve">gives effect to Australia’s obligations under an international agreement between Australia and New Zealand. For these purposes, the Act </w:t>
      </w:r>
      <w:r w:rsidRPr="6A61D147">
        <w:rPr>
          <w:rFonts w:cs="Arial"/>
        </w:rPr>
        <w:t xml:space="preserve">establishes the Authority to </w:t>
      </w:r>
      <w:r w:rsidRPr="6A61D147">
        <w:rPr>
          <w:rFonts w:cs="Arial"/>
          <w:lang w:val="en-AU"/>
        </w:rPr>
        <w:t xml:space="preserve">develop food standards </w:t>
      </w:r>
      <w:r w:rsidRPr="6A61D147">
        <w:rPr>
          <w:rFonts w:cs="Arial"/>
        </w:rPr>
        <w:t xml:space="preserve">for consideration and endorsement by the Food Ministers Meeting (FMM). The FMM is established under the Food Regulation Agreement and the </w:t>
      </w:r>
      <w:r w:rsidRPr="6A61D147">
        <w:rPr>
          <w:rFonts w:cs="Arial"/>
          <w:lang w:val="en-AU"/>
        </w:rPr>
        <w:t>international agreement between Australia and New Zealand</w:t>
      </w:r>
      <w:r w:rsidRPr="6A61D147">
        <w:rPr>
          <w:rFonts w:cs="Arial"/>
        </w:rPr>
        <w:t xml:space="preserve">, and consists of New Zealand, Commonwealth and State/Territory members. If endorsed by the FMM, </w:t>
      </w:r>
      <w:r w:rsidRPr="6A61D14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71A6732E" w14:textId="6F574431" w:rsidR="00CB7716" w:rsidRDefault="00AB1120" w:rsidP="00574F1C">
      <w:pPr>
        <w:spacing w:before="240" w:after="240"/>
      </w:pPr>
      <w:r w:rsidRPr="6A61D147">
        <w:rPr>
          <w:b/>
          <w:bCs/>
        </w:rPr>
        <w:t>3</w:t>
      </w:r>
      <w:r w:rsidR="00CB7716" w:rsidRPr="6A61D147">
        <w:rPr>
          <w:b/>
          <w:bCs/>
        </w:rPr>
        <w:t>.</w:t>
      </w:r>
      <w:r>
        <w:tab/>
      </w:r>
      <w:r w:rsidR="00CB7716" w:rsidRPr="6A61D147">
        <w:rPr>
          <w:b/>
          <w:bCs/>
        </w:rPr>
        <w:t>Purpose</w:t>
      </w:r>
    </w:p>
    <w:p w14:paraId="199D9C08" w14:textId="192E3744" w:rsidR="00CB7716" w:rsidRDefault="00CB7716" w:rsidP="00574F1C">
      <w:pPr>
        <w:spacing w:before="360" w:after="60"/>
      </w:pPr>
      <w:r w:rsidRPr="6A61D147">
        <w:rPr>
          <w:lang w:val="en-AU" w:eastAsia="en-GB" w:bidi="ar-SA"/>
        </w:rPr>
        <w:t xml:space="preserve">The Authority has </w:t>
      </w:r>
      <w:r w:rsidR="00F13010" w:rsidRPr="6A61D147">
        <w:rPr>
          <w:lang w:val="en-AU" w:eastAsia="en-GB" w:bidi="ar-SA"/>
        </w:rPr>
        <w:t xml:space="preserve">approved </w:t>
      </w:r>
      <w:r w:rsidRPr="6A61D147">
        <w:rPr>
          <w:lang w:val="en-AU" w:eastAsia="en-GB" w:bidi="ar-SA"/>
        </w:rPr>
        <w:t xml:space="preserve">a </w:t>
      </w:r>
      <w:r w:rsidR="00F13010" w:rsidRPr="6A61D147">
        <w:rPr>
          <w:lang w:val="en-AU" w:eastAsia="en-GB" w:bidi="ar-SA"/>
        </w:rPr>
        <w:t xml:space="preserve">draft </w:t>
      </w:r>
      <w:r w:rsidRPr="6A61D147">
        <w:rPr>
          <w:lang w:val="en-AU" w:eastAsia="en-GB" w:bidi="ar-SA"/>
        </w:rPr>
        <w:t xml:space="preserve">variation called </w:t>
      </w:r>
      <w:r w:rsidRPr="6A61D147">
        <w:rPr>
          <w:i/>
          <w:iCs/>
        </w:rPr>
        <w:t>Food Standards (</w:t>
      </w:r>
      <w:r w:rsidRPr="6A61D147">
        <w:rPr>
          <w:i/>
          <w:iCs/>
          <w:lang w:eastAsia="en-GB" w:bidi="ar-SA"/>
        </w:rPr>
        <w:t xml:space="preserve">Proposal P1053 – Food </w:t>
      </w:r>
      <w:r w:rsidRPr="6A61D147">
        <w:rPr>
          <w:i/>
          <w:iCs/>
          <w:lang w:eastAsia="en-GB" w:bidi="ar-SA"/>
        </w:rPr>
        <w:lastRenderedPageBreak/>
        <w:t>Safety Management Tools – Consequential Amendments</w:t>
      </w:r>
      <w:r w:rsidRPr="6A61D147">
        <w:rPr>
          <w:i/>
          <w:iCs/>
          <w:lang w:val="en-AU" w:eastAsia="en-GB" w:bidi="ar-SA"/>
        </w:rPr>
        <w:t>) Variation</w:t>
      </w:r>
      <w:r>
        <w:t xml:space="preserve"> </w:t>
      </w:r>
      <w:r w:rsidRPr="6A61D147">
        <w:rPr>
          <w:lang w:val="en-AU" w:eastAsia="en-GB" w:bidi="ar-SA"/>
        </w:rPr>
        <w:t xml:space="preserve">to make a consequential amendment to Standard 1.1.1 to account for the commencement of </w:t>
      </w:r>
      <w:r w:rsidR="00F13010" w:rsidRPr="6A61D147">
        <w:rPr>
          <w:lang w:val="en-AU" w:eastAsia="en-GB" w:bidi="ar-SA"/>
        </w:rPr>
        <w:t xml:space="preserve">approved draft </w:t>
      </w:r>
      <w:r w:rsidRPr="6A61D147">
        <w:rPr>
          <w:lang w:val="en-AU" w:eastAsia="en-GB" w:bidi="ar-SA"/>
        </w:rPr>
        <w:t>Standard 3.2.2A</w:t>
      </w:r>
      <w:r w:rsidR="00843BC2" w:rsidRPr="6A61D147">
        <w:rPr>
          <w:lang w:val="en-AU" w:eastAsia="en-GB" w:bidi="ar-SA"/>
        </w:rPr>
        <w:t>.</w:t>
      </w:r>
    </w:p>
    <w:p w14:paraId="4E779D2C" w14:textId="758F8108" w:rsidR="00CB7716" w:rsidRDefault="00AB1120" w:rsidP="6A61D147">
      <w:pPr>
        <w:spacing w:before="360" w:after="60"/>
        <w:rPr>
          <w:b/>
          <w:bCs/>
          <w:lang w:val="en-AU" w:eastAsia="en-GB" w:bidi="ar-SA"/>
        </w:rPr>
      </w:pPr>
      <w:r w:rsidRPr="6A61D147">
        <w:rPr>
          <w:b/>
          <w:bCs/>
          <w:lang w:val="en-AU" w:eastAsia="en-GB" w:bidi="ar-SA"/>
        </w:rPr>
        <w:t>4</w:t>
      </w:r>
      <w:r w:rsidR="00CB7716" w:rsidRPr="6A61D147">
        <w:rPr>
          <w:b/>
          <w:bCs/>
          <w:lang w:val="en-AU" w:eastAsia="en-GB" w:bidi="ar-SA"/>
        </w:rPr>
        <w:t>.</w:t>
      </w:r>
      <w:r>
        <w:tab/>
      </w:r>
      <w:r w:rsidR="00CB7716" w:rsidRPr="6A61D147">
        <w:rPr>
          <w:b/>
          <w:bCs/>
          <w:lang w:val="en-AU" w:eastAsia="en-GB" w:bidi="ar-SA"/>
        </w:rPr>
        <w:t>Documents incorporated by reference</w:t>
      </w:r>
    </w:p>
    <w:p w14:paraId="035AB3E0" w14:textId="746F7331" w:rsidR="00FA1FA0" w:rsidRDefault="00F13010" w:rsidP="6A61D147">
      <w:pPr>
        <w:widowControl/>
        <w:autoSpaceDE w:val="0"/>
        <w:autoSpaceDN w:val="0"/>
        <w:adjustRightInd w:val="0"/>
        <w:spacing w:before="360" w:after="60"/>
        <w:rPr>
          <w:rFonts w:eastAsia="Calibri" w:cs="Arial"/>
          <w:color w:val="FF0000"/>
          <w:lang w:val="en-AU" w:bidi="ar-SA"/>
        </w:rPr>
      </w:pPr>
      <w:r w:rsidRPr="6A61D147">
        <w:rPr>
          <w:rFonts w:eastAsia="Calibri" w:cs="Arial"/>
          <w:lang w:val="en-AU" w:bidi="ar-SA"/>
        </w:rPr>
        <w:t>The approved draft consequential variation does not incorporate any documents by reference.</w:t>
      </w:r>
    </w:p>
    <w:p w14:paraId="6292C4B6" w14:textId="06DB300F" w:rsidR="00CB7716" w:rsidRDefault="00AB1120" w:rsidP="6A61D147">
      <w:pPr>
        <w:spacing w:before="360" w:after="60"/>
        <w:rPr>
          <w:b/>
          <w:bCs/>
          <w:lang w:val="en-AU" w:eastAsia="en-GB" w:bidi="ar-SA"/>
        </w:rPr>
      </w:pPr>
      <w:r w:rsidRPr="6A61D147">
        <w:rPr>
          <w:b/>
          <w:bCs/>
          <w:lang w:val="en-AU" w:eastAsia="en-GB" w:bidi="ar-SA"/>
        </w:rPr>
        <w:t>5</w:t>
      </w:r>
      <w:r w:rsidR="00CB7716" w:rsidRPr="6A61D147">
        <w:rPr>
          <w:b/>
          <w:bCs/>
          <w:lang w:val="en-AU" w:eastAsia="en-GB" w:bidi="ar-SA"/>
        </w:rPr>
        <w:t>.</w:t>
      </w:r>
      <w:r>
        <w:tab/>
      </w:r>
      <w:r w:rsidR="00CB7716" w:rsidRPr="6A61D147">
        <w:rPr>
          <w:b/>
          <w:bCs/>
          <w:lang w:val="en-AU" w:eastAsia="en-GB" w:bidi="ar-SA"/>
        </w:rPr>
        <w:t>Consultation</w:t>
      </w:r>
    </w:p>
    <w:p w14:paraId="7A4E1897" w14:textId="547967D0" w:rsidR="00CB7716" w:rsidRPr="00A94813" w:rsidRDefault="00CB7716" w:rsidP="00574F1C">
      <w:pPr>
        <w:spacing w:before="360" w:after="60"/>
        <w:rPr>
          <w:lang w:val="en-AU"/>
        </w:rPr>
      </w:pPr>
      <w:r>
        <w:t xml:space="preserve">In accordance with the procedure in Division 2 of Part 3 of the FSANZ Act, </w:t>
      </w:r>
      <w:r w:rsidRPr="6A61D147">
        <w:rPr>
          <w:rFonts w:eastAsia="Calibri" w:cs="Arial"/>
          <w:lang w:val="en-AU" w:bidi="ar-SA"/>
        </w:rPr>
        <w:t>the Authority</w:t>
      </w:r>
      <w:r>
        <w:t xml:space="preserve">’s consideration of Proposal P1053 included one round of public consultation following an assessment and the preparation of a draft standard, consequential variation and associated report. Submissions were called for on 14 February 2022 for an eight-week consultation period. </w:t>
      </w:r>
    </w:p>
    <w:p w14:paraId="5D060A0E" w14:textId="5437D527" w:rsidR="00CB7716" w:rsidRDefault="00AB1120" w:rsidP="00574F1C">
      <w:pPr>
        <w:spacing w:before="360" w:after="60"/>
      </w:pPr>
      <w:r>
        <w:rPr>
          <w:rFonts w:eastAsia="Calibri"/>
          <w:color w:val="000000" w:themeColor="text1"/>
        </w:rPr>
        <w:t>A Decision Regulation Impact</w:t>
      </w:r>
      <w:r w:rsidRPr="00131F7A">
        <w:rPr>
          <w:rFonts w:eastAsia="Calibri"/>
          <w:color w:val="000000" w:themeColor="text1"/>
        </w:rPr>
        <w:t xml:space="preserve"> Statement </w:t>
      </w:r>
      <w:r>
        <w:rPr>
          <w:rFonts w:eastAsia="Calibri"/>
          <w:color w:val="000000" w:themeColor="text1"/>
        </w:rPr>
        <w:t>(D</w:t>
      </w:r>
      <w:r w:rsidRPr="00117A21">
        <w:rPr>
          <w:rFonts w:eastAsia="Calibri"/>
          <w:color w:val="000000" w:themeColor="text1"/>
        </w:rPr>
        <w:t>RIS</w:t>
      </w:r>
      <w:r>
        <w:rPr>
          <w:rFonts w:eastAsia="Calibri"/>
          <w:color w:val="000000" w:themeColor="text1"/>
        </w:rPr>
        <w:t>)</w:t>
      </w:r>
      <w:r w:rsidRPr="00117A21">
        <w:rPr>
          <w:rFonts w:eastAsia="Calibri"/>
          <w:color w:val="000000" w:themeColor="text1"/>
        </w:rPr>
        <w:t xml:space="preserve"> </w:t>
      </w:r>
      <w:r>
        <w:rPr>
          <w:rFonts w:eastAsia="Calibri"/>
          <w:color w:val="000000" w:themeColor="text1"/>
        </w:rPr>
        <w:t>was prepared by the Authority and has been approved by t</w:t>
      </w:r>
      <w:r w:rsidRPr="00117A21">
        <w:rPr>
          <w:rFonts w:eastAsia="Calibri"/>
          <w:color w:val="000000" w:themeColor="text1"/>
        </w:rPr>
        <w:t>he Of</w:t>
      </w:r>
      <w:r>
        <w:rPr>
          <w:rFonts w:eastAsia="Calibri"/>
          <w:color w:val="000000" w:themeColor="text1"/>
        </w:rPr>
        <w:t xml:space="preserve">fice of Best Practice Regulation (Reference - </w:t>
      </w:r>
      <w:r w:rsidR="007C4F6B" w:rsidRPr="007C4F6B">
        <w:rPr>
          <w:color w:val="000000"/>
          <w:sz w:val="21"/>
          <w:szCs w:val="21"/>
          <w:shd w:val="clear" w:color="auto" w:fill="FFFFFF"/>
        </w:rPr>
        <w:t>OBPR21-01217</w:t>
      </w:r>
      <w:r>
        <w:rPr>
          <w:color w:val="000000"/>
          <w:sz w:val="21"/>
          <w:szCs w:val="21"/>
          <w:shd w:val="clear" w:color="auto" w:fill="FFFFFF"/>
        </w:rPr>
        <w:t>)</w:t>
      </w:r>
      <w:r>
        <w:rPr>
          <w:rFonts w:eastAsia="Calibri"/>
          <w:color w:val="000000" w:themeColor="text1"/>
        </w:rPr>
        <w:t>.</w:t>
      </w:r>
      <w:r w:rsidR="006E77ED">
        <w:rPr>
          <w:rFonts w:eastAsia="Calibri"/>
          <w:color w:val="000000" w:themeColor="text1"/>
        </w:rPr>
        <w:t xml:space="preserve"> </w:t>
      </w:r>
      <w:r>
        <w:t xml:space="preserve">A copy of the DRIS </w:t>
      </w:r>
      <w:r w:rsidR="00CB7716">
        <w:t xml:space="preserve">is </w:t>
      </w:r>
      <w:r w:rsidR="00F13010">
        <w:t>available on the FSANZ website</w:t>
      </w:r>
      <w:r w:rsidR="00CB7716">
        <w:t xml:space="preserve">. </w:t>
      </w:r>
    </w:p>
    <w:p w14:paraId="4BBCB272" w14:textId="773E6EBA" w:rsidR="00CB7716" w:rsidRDefault="00AB1120" w:rsidP="6A61D147">
      <w:pPr>
        <w:widowControl/>
        <w:spacing w:before="360" w:after="60"/>
        <w:rPr>
          <w:rFonts w:eastAsiaTheme="minorEastAsia" w:cs="Arial"/>
          <w:b/>
          <w:bCs/>
          <w:lang w:val="en-AU" w:bidi="ar-SA"/>
        </w:rPr>
      </w:pPr>
      <w:r w:rsidRPr="6A61D147">
        <w:rPr>
          <w:rFonts w:eastAsiaTheme="minorEastAsia" w:cs="Arial"/>
          <w:b/>
          <w:bCs/>
          <w:lang w:val="en-AU" w:bidi="ar-SA"/>
        </w:rPr>
        <w:t>6</w:t>
      </w:r>
      <w:r w:rsidR="00CB7716" w:rsidRPr="6A61D147">
        <w:rPr>
          <w:rFonts w:eastAsiaTheme="minorEastAsia" w:cs="Arial"/>
          <w:b/>
          <w:bCs/>
          <w:lang w:val="en-AU" w:bidi="ar-SA"/>
        </w:rPr>
        <w:t>.</w:t>
      </w:r>
      <w:r>
        <w:tab/>
      </w:r>
      <w:r w:rsidR="00CB7716" w:rsidRPr="6A61D147">
        <w:rPr>
          <w:rFonts w:eastAsiaTheme="minorEastAsia" w:cs="Arial"/>
          <w:b/>
          <w:bCs/>
          <w:lang w:val="en-AU" w:bidi="ar-SA"/>
        </w:rPr>
        <w:t>Statement of compatibility with human rights</w:t>
      </w:r>
    </w:p>
    <w:p w14:paraId="7D0A6CE0" w14:textId="661E28C4" w:rsidR="00CB7716" w:rsidRDefault="00AB1120" w:rsidP="6A61D147">
      <w:pPr>
        <w:spacing w:before="360" w:after="60"/>
        <w:rPr>
          <w:b/>
          <w:bCs/>
        </w:rPr>
      </w:pPr>
      <w:r w:rsidRPr="6A61D147">
        <w:rPr>
          <w:rFonts w:eastAsiaTheme="minorEastAsia"/>
          <w:lang w:val="en-AU" w:bidi="ar-SA"/>
        </w:rPr>
        <w:t xml:space="preserve">This instrument is exempt from the requirements for a statement of compatibility with human rights as it is a non-disallowable instrument under section 44 of the </w:t>
      </w:r>
      <w:r w:rsidRPr="6A61D147">
        <w:rPr>
          <w:rFonts w:eastAsiaTheme="minorEastAsia"/>
          <w:i/>
          <w:iCs/>
          <w:lang w:val="en-AU" w:bidi="ar-SA"/>
        </w:rPr>
        <w:t>Legislation Act 2003</w:t>
      </w:r>
      <w:r w:rsidR="00CB7716" w:rsidRPr="6A61D147">
        <w:rPr>
          <w:rFonts w:eastAsiaTheme="minorEastAsia"/>
          <w:lang w:val="en-AU" w:bidi="ar-SA"/>
        </w:rPr>
        <w:t>.</w:t>
      </w:r>
      <w:r w:rsidR="00CB7716" w:rsidRPr="6A61D147">
        <w:rPr>
          <w:b/>
          <w:bCs/>
        </w:rPr>
        <w:t xml:space="preserve"> </w:t>
      </w:r>
    </w:p>
    <w:p w14:paraId="616FEAA6" w14:textId="5638476E" w:rsidR="00574F1C" w:rsidRDefault="00AB1120" w:rsidP="00574F1C">
      <w:pPr>
        <w:spacing w:before="240" w:after="240"/>
      </w:pPr>
      <w:r w:rsidRPr="6A61D147">
        <w:rPr>
          <w:b/>
          <w:bCs/>
        </w:rPr>
        <w:t>7</w:t>
      </w:r>
      <w:r w:rsidR="00CB7716" w:rsidRPr="6A61D147">
        <w:rPr>
          <w:b/>
          <w:bCs/>
        </w:rPr>
        <w:t>.</w:t>
      </w:r>
      <w:r>
        <w:tab/>
      </w:r>
      <w:r w:rsidR="00CB7716" w:rsidRPr="6A61D147">
        <w:rPr>
          <w:b/>
          <w:bCs/>
          <w:lang w:val="en-AU" w:eastAsia="en-GB" w:bidi="ar-SA"/>
        </w:rPr>
        <w:t>Variation</w:t>
      </w:r>
    </w:p>
    <w:p w14:paraId="54E0B6B8" w14:textId="3078A781" w:rsidR="00CB7716" w:rsidRDefault="00CB7716" w:rsidP="00574F1C">
      <w:pPr>
        <w:spacing w:before="240" w:after="240"/>
      </w:pPr>
      <w:r>
        <w:t xml:space="preserve">Clause 1 </w:t>
      </w:r>
      <w:r w:rsidR="00AB1120">
        <w:t xml:space="preserve">of the approved draft consequential variation </w:t>
      </w:r>
      <w:r>
        <w:t xml:space="preserve">provides that the name of </w:t>
      </w:r>
      <w:r w:rsidR="00AB1120">
        <w:t xml:space="preserve">that </w:t>
      </w:r>
      <w:r>
        <w:t xml:space="preserve">variation is </w:t>
      </w:r>
      <w:r w:rsidRPr="6A61D147">
        <w:rPr>
          <w:i/>
          <w:iCs/>
        </w:rPr>
        <w:t>Food Standards (</w:t>
      </w:r>
      <w:r w:rsidRPr="6A61D147">
        <w:rPr>
          <w:i/>
          <w:iCs/>
          <w:lang w:eastAsia="en-GB" w:bidi="ar-SA"/>
        </w:rPr>
        <w:t>Proposal P1053 – Food Safety Management Tools – Consequential Amendments</w:t>
      </w:r>
      <w:r w:rsidRPr="6A61D147">
        <w:rPr>
          <w:i/>
          <w:iCs/>
          <w:lang w:val="en-AU" w:eastAsia="en-GB" w:bidi="ar-SA"/>
        </w:rPr>
        <w:t>) Variation</w:t>
      </w:r>
      <w:r>
        <w:t>.</w:t>
      </w:r>
    </w:p>
    <w:p w14:paraId="4FDBB407" w14:textId="00483575" w:rsidR="00CB7716" w:rsidRDefault="00CB7716" w:rsidP="00574F1C">
      <w:pPr>
        <w:spacing w:before="360" w:after="60"/>
      </w:pPr>
      <w:r>
        <w:t xml:space="preserve">Clause 2 </w:t>
      </w:r>
      <w:r w:rsidR="00AB1120">
        <w:t xml:space="preserve">of the approved draft consequential variation </w:t>
      </w:r>
      <w:r>
        <w:t>provides that the Code is amended by the Schedule to th</w:t>
      </w:r>
      <w:r w:rsidR="00AB1120">
        <w:t>at</w:t>
      </w:r>
      <w:r>
        <w:t xml:space="preserve"> variation.</w:t>
      </w:r>
    </w:p>
    <w:p w14:paraId="32ECC08F" w14:textId="262F832C" w:rsidR="00CB7716" w:rsidRDefault="00CB7716" w:rsidP="00574F1C">
      <w:pPr>
        <w:spacing w:before="360" w:after="60"/>
      </w:pPr>
      <w:r>
        <w:t xml:space="preserve">Clause 3 provides that the </w:t>
      </w:r>
      <w:r w:rsidR="00AB1120">
        <w:t xml:space="preserve">approved draft consequential variation </w:t>
      </w:r>
      <w:r>
        <w:t>will commence immediately after draft Standard 3.2.2A takes effect.</w:t>
      </w:r>
    </w:p>
    <w:p w14:paraId="1141D3C7" w14:textId="6BDC7A30" w:rsidR="00CB7716" w:rsidRDefault="00CB7716" w:rsidP="00574F1C">
      <w:pPr>
        <w:spacing w:before="360" w:after="60"/>
      </w:pPr>
      <w:r>
        <w:t xml:space="preserve">Item 1 of the Schedule </w:t>
      </w:r>
      <w:r w:rsidR="00AB1120">
        <w:t xml:space="preserve">to the approved draft consequential variation </w:t>
      </w:r>
      <w:r>
        <w:rPr>
          <w:lang w:val="en-AU" w:eastAsia="en-GB" w:bidi="ar-SA"/>
        </w:rPr>
        <w:t>amend</w:t>
      </w:r>
      <w:r w:rsidR="00AB1120">
        <w:rPr>
          <w:lang w:val="en-AU" w:eastAsia="en-GB" w:bidi="ar-SA"/>
        </w:rPr>
        <w:t>s</w:t>
      </w:r>
      <w:r>
        <w:rPr>
          <w:lang w:val="en-AU" w:eastAsia="en-GB" w:bidi="ar-SA"/>
        </w:rPr>
        <w:t xml:space="preserve"> </w:t>
      </w:r>
      <w:r>
        <w:t xml:space="preserve">subsection 1.1.1—2(2) of </w:t>
      </w:r>
      <w:r>
        <w:rPr>
          <w:lang w:val="en-AU" w:eastAsia="en-GB" w:bidi="ar-SA"/>
        </w:rPr>
        <w:t xml:space="preserve">Standard 1.1.1 of the Code to include in that subsection a reference to </w:t>
      </w:r>
      <w:r>
        <w:t xml:space="preserve">Standard 3.2.2A. The subsection </w:t>
      </w:r>
      <w:r>
        <w:rPr>
          <w:lang w:val="en-AU" w:eastAsia="en-GB" w:bidi="ar-SA"/>
        </w:rPr>
        <w:t xml:space="preserve">lists all the </w:t>
      </w:r>
      <w:r w:rsidRPr="000C7DDF">
        <w:rPr>
          <w:lang w:val="en-AU" w:eastAsia="en-GB" w:bidi="ar-SA"/>
        </w:rPr>
        <w:t>standards of the Code arranged into Chapters, Parts and a set of Schedules</w:t>
      </w:r>
      <w:r>
        <w:rPr>
          <w:lang w:val="en-AU" w:eastAsia="en-GB" w:bidi="ar-SA"/>
        </w:rPr>
        <w:t xml:space="preserve">. The list does not currently contain a reference to </w:t>
      </w:r>
      <w:r>
        <w:t>Standard 3.2.2A.</w:t>
      </w:r>
      <w:r w:rsidR="0081747A">
        <w:t xml:space="preserve"> </w:t>
      </w:r>
    </w:p>
    <w:p w14:paraId="25662175" w14:textId="5B63B25B" w:rsidR="00CB7716" w:rsidRDefault="00CB7716" w:rsidP="00574F1C">
      <w:pPr>
        <w:spacing w:before="360" w:after="60"/>
        <w:rPr>
          <w:b/>
        </w:rPr>
      </w:pPr>
      <w:r>
        <w:t xml:space="preserve">The effect of the amendment, </w:t>
      </w:r>
      <w:r w:rsidR="00AB1120">
        <w:t xml:space="preserve">when </w:t>
      </w:r>
      <w:r>
        <w:t xml:space="preserve">the Standard 3.2.2A and the variation both </w:t>
      </w:r>
      <w:r w:rsidR="00AB1120">
        <w:t>commence</w:t>
      </w:r>
      <w:r>
        <w:t xml:space="preserve">, will be that Standard 3.2.2A will be listed in subsection 1.1.1—2(2) </w:t>
      </w:r>
      <w:r w:rsidR="00AB1120">
        <w:t xml:space="preserve">of the Code </w:t>
      </w:r>
      <w:r>
        <w:t>immediately after the reference in that subsection to Standard 3.2.2.</w:t>
      </w:r>
    </w:p>
    <w:p w14:paraId="5A1E46C4" w14:textId="6FAD26FC" w:rsidR="00CB7716" w:rsidRDefault="00CB7716" w:rsidP="6A61D147">
      <w:pPr>
        <w:rPr>
          <w:b/>
          <w:bCs/>
          <w:lang w:val="en-AU" w:eastAsia="en-GB" w:bidi="ar-SA"/>
        </w:rPr>
      </w:pPr>
    </w:p>
    <w:p w14:paraId="4A54ED24" w14:textId="3C9D7A20" w:rsidR="00EB6590" w:rsidRPr="00CF136E" w:rsidRDefault="00B21055" w:rsidP="00CF136E">
      <w:pPr>
        <w:pStyle w:val="Heading1"/>
        <w:numPr>
          <w:ilvl w:val="0"/>
          <w:numId w:val="0"/>
        </w:numPr>
        <w:ind w:left="432" w:hanging="432"/>
      </w:pPr>
      <w:bookmarkStart w:id="197" w:name="_Attachment_C_–"/>
      <w:bookmarkStart w:id="198" w:name="_Toc11735637"/>
      <w:bookmarkStart w:id="199" w:name="_Toc29883122"/>
      <w:bookmarkStart w:id="200" w:name="_Toc41906809"/>
      <w:bookmarkStart w:id="201" w:name="_Toc41907556"/>
      <w:bookmarkStart w:id="202" w:name="_Toc120358587"/>
      <w:bookmarkStart w:id="203" w:name="_Toc175381446"/>
      <w:bookmarkStart w:id="204" w:name="_Toc109300436"/>
      <w:bookmarkStart w:id="205" w:name="_Toc175381454"/>
      <w:bookmarkEnd w:id="182"/>
      <w:bookmarkEnd w:id="183"/>
      <w:bookmarkEnd w:id="197"/>
      <w:r w:rsidRPr="00CF136E">
        <w:rPr>
          <w:rFonts w:cs="Arial"/>
          <w:sz w:val="28"/>
          <w:szCs w:val="22"/>
        </w:rPr>
        <w:lastRenderedPageBreak/>
        <w:t>Attachment</w:t>
      </w:r>
      <w:r w:rsidR="001664BD" w:rsidRPr="00CF136E">
        <w:rPr>
          <w:rFonts w:cs="Arial"/>
          <w:sz w:val="28"/>
          <w:szCs w:val="22"/>
        </w:rPr>
        <w:t xml:space="preserve"> C</w:t>
      </w:r>
      <w:r w:rsidR="00486C66" w:rsidRPr="00CF136E">
        <w:rPr>
          <w:rFonts w:cs="Arial"/>
          <w:sz w:val="28"/>
          <w:szCs w:val="22"/>
        </w:rPr>
        <w:t xml:space="preserve"> – </w:t>
      </w:r>
      <w:r w:rsidR="00410C76" w:rsidRPr="00CF136E">
        <w:rPr>
          <w:rFonts w:cs="Arial"/>
          <w:sz w:val="28"/>
          <w:szCs w:val="22"/>
        </w:rPr>
        <w:t>Regulat</w:t>
      </w:r>
      <w:r w:rsidR="0063455F" w:rsidRPr="00CF136E">
        <w:rPr>
          <w:rFonts w:cs="Arial"/>
          <w:sz w:val="28"/>
          <w:szCs w:val="22"/>
        </w:rPr>
        <w:t>ion</w:t>
      </w:r>
      <w:r w:rsidR="00BD49FF" w:rsidRPr="00CF136E">
        <w:rPr>
          <w:rFonts w:cs="Arial"/>
          <w:sz w:val="28"/>
          <w:szCs w:val="22"/>
        </w:rPr>
        <w:t xml:space="preserve"> </w:t>
      </w:r>
      <w:r w:rsidR="00410C76" w:rsidRPr="00CF136E">
        <w:rPr>
          <w:rFonts w:cs="Arial"/>
          <w:sz w:val="28"/>
          <w:szCs w:val="22"/>
        </w:rPr>
        <w:t xml:space="preserve">Impact </w:t>
      </w:r>
      <w:bookmarkEnd w:id="198"/>
      <w:bookmarkEnd w:id="199"/>
      <w:bookmarkEnd w:id="200"/>
      <w:bookmarkEnd w:id="201"/>
      <w:bookmarkEnd w:id="202"/>
      <w:r w:rsidR="00381E07" w:rsidRPr="00CF136E">
        <w:rPr>
          <w:rFonts w:cs="Arial"/>
          <w:sz w:val="28"/>
          <w:szCs w:val="22"/>
        </w:rPr>
        <w:t>Statement</w:t>
      </w:r>
      <w:r w:rsidR="00410C76" w:rsidRPr="00CF136E">
        <w:rPr>
          <w:rFonts w:cs="Arial"/>
          <w:sz w:val="28"/>
          <w:szCs w:val="22"/>
        </w:rPr>
        <w:t xml:space="preserve"> (</w:t>
      </w:r>
      <w:r w:rsidR="00380106" w:rsidRPr="00CF136E">
        <w:rPr>
          <w:rFonts w:cs="Arial"/>
          <w:sz w:val="28"/>
          <w:szCs w:val="22"/>
        </w:rPr>
        <w:t>OBPR</w:t>
      </w:r>
      <w:r w:rsidR="00410C76" w:rsidRPr="00CF136E">
        <w:rPr>
          <w:rFonts w:cs="Arial"/>
          <w:sz w:val="28"/>
          <w:szCs w:val="22"/>
        </w:rPr>
        <w:t xml:space="preserve"> ID:</w:t>
      </w:r>
      <w:r w:rsidR="00582EC1" w:rsidRPr="00CF136E">
        <w:rPr>
          <w:rFonts w:cs="Arial"/>
          <w:sz w:val="28"/>
          <w:szCs w:val="22"/>
        </w:rPr>
        <w:t xml:space="preserve"> </w:t>
      </w:r>
      <w:r w:rsidR="00337A02" w:rsidRPr="00CF136E">
        <w:rPr>
          <w:rFonts w:cs="Arial"/>
          <w:sz w:val="28"/>
          <w:szCs w:val="22"/>
        </w:rPr>
        <w:t>21-01217</w:t>
      </w:r>
      <w:r w:rsidR="00410C76" w:rsidRPr="00CF136E">
        <w:rPr>
          <w:rFonts w:cs="Arial"/>
          <w:sz w:val="28"/>
          <w:szCs w:val="22"/>
        </w:rPr>
        <w:t>)</w:t>
      </w:r>
      <w:bookmarkEnd w:id="203"/>
      <w:bookmarkEnd w:id="204"/>
    </w:p>
    <w:p w14:paraId="0DB6B375" w14:textId="5BB130A0" w:rsidR="008962CE" w:rsidRDefault="008962CE" w:rsidP="008962CE">
      <w:pPr>
        <w:rPr>
          <w:lang w:bidi="ar-SA"/>
        </w:rPr>
      </w:pPr>
    </w:p>
    <w:p w14:paraId="5654D44C" w14:textId="06576C5E" w:rsidR="008962CE" w:rsidRDefault="008962CE" w:rsidP="008962CE">
      <w:pPr>
        <w:rPr>
          <w:lang w:bidi="ar-SA"/>
        </w:rPr>
      </w:pPr>
    </w:p>
    <w:p w14:paraId="7CADC12B" w14:textId="77777777" w:rsidR="00CB7716" w:rsidRDefault="00CB7716" w:rsidP="00CB7716">
      <w:pPr>
        <w:pStyle w:val="Header"/>
      </w:pPr>
      <w:r>
        <w:rPr>
          <w:noProof/>
          <w:lang w:eastAsia="en-GB" w:bidi="ar-SA"/>
        </w:rPr>
        <w:drawing>
          <wp:inline distT="0" distB="0" distL="0" distR="0" wp14:anchorId="2C807EA5" wp14:editId="58875476">
            <wp:extent cx="3495600" cy="612000"/>
            <wp:effectExtent l="0" t="0" r="0" b="0"/>
            <wp:docPr id="5" name="Picture 5"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30D88A7B" w14:textId="77777777" w:rsidR="00CB7716" w:rsidRPr="00A671E6" w:rsidRDefault="00CB7716" w:rsidP="00CB7716">
      <w:pPr>
        <w:rPr>
          <w:color w:val="FF0000"/>
        </w:rPr>
      </w:pPr>
    </w:p>
    <w:p w14:paraId="7E454DE6" w14:textId="77777777" w:rsidR="00CB7716" w:rsidRPr="000B427A" w:rsidRDefault="00CB7716" w:rsidP="00CB7716">
      <w:pPr>
        <w:pStyle w:val="FSTitle"/>
      </w:pPr>
      <w:r>
        <w:t>Decision Regulation Impact Statement – P1053 Food Safety Management Tools</w:t>
      </w:r>
    </w:p>
    <w:p w14:paraId="43CA59C1" w14:textId="77777777" w:rsidR="00CB7716" w:rsidRPr="00E327A6" w:rsidRDefault="00CB7716" w:rsidP="00CB7716">
      <w:pPr>
        <w:pBdr>
          <w:bottom w:val="single" w:sz="12" w:space="1" w:color="auto"/>
        </w:pBdr>
        <w:tabs>
          <w:tab w:val="left" w:pos="1140"/>
        </w:tabs>
        <w:rPr>
          <w:rFonts w:cs="Arial"/>
          <w:bCs/>
        </w:rPr>
      </w:pPr>
    </w:p>
    <w:p w14:paraId="44E21BDA" w14:textId="77777777" w:rsidR="00CB7716" w:rsidRPr="006D619E" w:rsidRDefault="00CB7716" w:rsidP="006D619E">
      <w:pPr>
        <w:pStyle w:val="Heading2"/>
        <w:numPr>
          <w:ilvl w:val="0"/>
          <w:numId w:val="0"/>
        </w:numPr>
        <w:ind w:left="576" w:hanging="576"/>
      </w:pPr>
      <w:bookmarkStart w:id="206" w:name="_Toc94172820"/>
      <w:bookmarkStart w:id="207" w:name="_Toc104808592"/>
      <w:bookmarkStart w:id="208" w:name="_Toc107412672"/>
      <w:bookmarkStart w:id="209" w:name="_Toc109300437"/>
      <w:bookmarkStart w:id="210" w:name="_Toc385256257"/>
      <w:bookmarkStart w:id="211" w:name="_Toc426380819"/>
      <w:bookmarkStart w:id="212" w:name="_Toc426380884"/>
      <w:bookmarkStart w:id="213" w:name="_Toc426380915"/>
      <w:r w:rsidRPr="006D619E">
        <w:t>Executive summary</w:t>
      </w:r>
      <w:bookmarkEnd w:id="206"/>
      <w:bookmarkEnd w:id="207"/>
      <w:bookmarkEnd w:id="208"/>
      <w:bookmarkEnd w:id="209"/>
      <w:r w:rsidRPr="006D619E">
        <w:tab/>
      </w:r>
      <w:bookmarkEnd w:id="210"/>
      <w:bookmarkEnd w:id="211"/>
      <w:bookmarkEnd w:id="212"/>
      <w:bookmarkEnd w:id="213"/>
    </w:p>
    <w:p w14:paraId="315352C3" w14:textId="77777777" w:rsidR="00CB7716" w:rsidRPr="00AB7684" w:rsidRDefault="00CB7716" w:rsidP="004F36C6">
      <w:pPr>
        <w:spacing w:after="240"/>
        <w:rPr>
          <w:lang w:val="en-AU"/>
        </w:rPr>
      </w:pPr>
      <w:r>
        <w:rPr>
          <w:lang w:val="en-AU"/>
        </w:rPr>
        <w:t>Food Standards Australia New Zealand (</w:t>
      </w:r>
      <w:r w:rsidRPr="00AB7684">
        <w:rPr>
          <w:lang w:val="en-AU"/>
        </w:rPr>
        <w:t>FSANZ</w:t>
      </w:r>
      <w:r>
        <w:rPr>
          <w:lang w:val="en-AU"/>
        </w:rPr>
        <w:t>)</w:t>
      </w:r>
      <w:r w:rsidRPr="00AB7684">
        <w:rPr>
          <w:lang w:val="en-AU"/>
        </w:rPr>
        <w:t xml:space="preserve"> </w:t>
      </w:r>
      <w:r>
        <w:rPr>
          <w:lang w:val="en-AU"/>
        </w:rPr>
        <w:t>commenced</w:t>
      </w:r>
      <w:r w:rsidRPr="00AB7684">
        <w:rPr>
          <w:lang w:val="en-AU"/>
        </w:rPr>
        <w:t xml:space="preserve"> Proposal P1053 – Food Safety Management Tools to consider </w:t>
      </w:r>
      <w:r>
        <w:rPr>
          <w:lang w:val="en-AU"/>
        </w:rPr>
        <w:t>whether regulatory measures should be mandated to</w:t>
      </w:r>
      <w:r w:rsidRPr="00AB7684">
        <w:rPr>
          <w:lang w:val="en-AU"/>
        </w:rPr>
        <w:t xml:space="preserve"> manag</w:t>
      </w:r>
      <w:r>
        <w:rPr>
          <w:lang w:val="en-AU"/>
        </w:rPr>
        <w:t>e</w:t>
      </w:r>
      <w:r w:rsidRPr="00AB7684">
        <w:rPr>
          <w:lang w:val="en-AU"/>
        </w:rPr>
        <w:t xml:space="preserve"> food safety</w:t>
      </w:r>
      <w:r w:rsidRPr="0017083D">
        <w:rPr>
          <w:lang w:val="en-AU"/>
        </w:rPr>
        <w:t xml:space="preserve"> </w:t>
      </w:r>
      <w:r w:rsidRPr="00AB7684">
        <w:rPr>
          <w:lang w:val="en-AU"/>
        </w:rPr>
        <w:t>risks</w:t>
      </w:r>
      <w:r w:rsidRPr="005E4FAC">
        <w:rPr>
          <w:lang w:val="en-AU"/>
        </w:rPr>
        <w:t xml:space="preserve"> </w:t>
      </w:r>
      <w:r>
        <w:rPr>
          <w:lang w:val="en-AU"/>
        </w:rPr>
        <w:t>in food service and related retail sectors</w:t>
      </w:r>
      <w:r w:rsidRPr="00AB7684">
        <w:rPr>
          <w:lang w:val="en-AU"/>
        </w:rPr>
        <w:t xml:space="preserve">. </w:t>
      </w:r>
    </w:p>
    <w:p w14:paraId="649AD123" w14:textId="7BD93C43" w:rsidR="00CB7716" w:rsidRDefault="00CB7716" w:rsidP="004F36C6">
      <w:pPr>
        <w:spacing w:after="240"/>
        <w:rPr>
          <w:lang w:val="en-AU"/>
        </w:rPr>
      </w:pPr>
      <w:r w:rsidRPr="4A34C5A5">
        <w:rPr>
          <w:lang w:val="en-AU"/>
        </w:rPr>
        <w:t xml:space="preserve">The purpose of this decision regulation impact statement (DRIS) is to explain and analyse the options considered and make a final recommendation as to which is the best option. It provides the likely costs and benefits of each option and </w:t>
      </w:r>
      <w:bookmarkStart w:id="214" w:name="_Int_4dfOHb4I"/>
      <w:r w:rsidRPr="4A34C5A5">
        <w:rPr>
          <w:lang w:val="en-AU"/>
        </w:rPr>
        <w:t>takes into account</w:t>
      </w:r>
      <w:bookmarkEnd w:id="214"/>
      <w:r w:rsidRPr="4A34C5A5">
        <w:rPr>
          <w:lang w:val="en-AU"/>
        </w:rPr>
        <w:t xml:space="preserve"> relevant risk analysis.</w:t>
      </w:r>
    </w:p>
    <w:p w14:paraId="225624CD" w14:textId="77777777" w:rsidR="00CB7716" w:rsidRPr="00AB7684" w:rsidRDefault="00CB7716" w:rsidP="004F36C6">
      <w:pPr>
        <w:spacing w:after="240"/>
        <w:rPr>
          <w:lang w:val="en-AU"/>
        </w:rPr>
      </w:pPr>
      <w:r w:rsidRPr="68C0CA2D">
        <w:rPr>
          <w:lang w:val="en-AU"/>
        </w:rPr>
        <w:t xml:space="preserve">This DRIS has relied on the best available information, </w:t>
      </w:r>
      <w:r>
        <w:rPr>
          <w:lang w:val="en-AU"/>
        </w:rPr>
        <w:t xml:space="preserve">and several assumptions have been made in </w:t>
      </w:r>
      <w:r w:rsidRPr="68C0CA2D">
        <w:rPr>
          <w:lang w:val="en-AU"/>
        </w:rPr>
        <w:t xml:space="preserve">the analysis </w:t>
      </w:r>
      <w:r>
        <w:rPr>
          <w:lang w:val="en-AU"/>
        </w:rPr>
        <w:t xml:space="preserve">to address </w:t>
      </w:r>
      <w:r w:rsidRPr="48861835">
        <w:rPr>
          <w:lang w:val="en-AU"/>
        </w:rPr>
        <w:t>data gaps.</w:t>
      </w:r>
      <w:r w:rsidRPr="68C0CA2D">
        <w:rPr>
          <w:lang w:val="en-AU"/>
        </w:rPr>
        <w:t xml:space="preserve"> These gaps and assumptions are identified. </w:t>
      </w:r>
    </w:p>
    <w:p w14:paraId="5DCE9454" w14:textId="3D5269DA" w:rsidR="00CB7716" w:rsidRDefault="00CB7716" w:rsidP="004F36C6">
      <w:pPr>
        <w:spacing w:after="240"/>
        <w:rPr>
          <w:rFonts w:cs="Arial"/>
        </w:rPr>
      </w:pPr>
      <w:r w:rsidRPr="001C3859">
        <w:rPr>
          <w:rFonts w:cs="Calibri"/>
          <w:lang w:val="en-AU"/>
        </w:rPr>
        <w:t xml:space="preserve">Over the past decade, foodborne illness outbreaks have been consistently linked to food service and </w:t>
      </w:r>
      <w:r>
        <w:rPr>
          <w:rFonts w:cs="Calibri"/>
          <w:lang w:val="en-AU"/>
        </w:rPr>
        <w:t>related</w:t>
      </w:r>
      <w:r w:rsidRPr="001C3859">
        <w:rPr>
          <w:rFonts w:cs="Calibri"/>
          <w:lang w:val="en-AU"/>
        </w:rPr>
        <w:t xml:space="preserve"> retail businesses</w:t>
      </w:r>
      <w:r>
        <w:rPr>
          <w:rFonts w:cs="Calibri"/>
          <w:lang w:val="en-AU"/>
        </w:rPr>
        <w:t xml:space="preserve">. </w:t>
      </w:r>
      <w:r w:rsidRPr="001C3859">
        <w:rPr>
          <w:rFonts w:cs="Arial"/>
        </w:rPr>
        <w:t xml:space="preserve">The total number of probable and </w:t>
      </w:r>
      <w:r>
        <w:rPr>
          <w:rFonts w:cs="Arial"/>
        </w:rPr>
        <w:t xml:space="preserve">actual </w:t>
      </w:r>
      <w:r w:rsidRPr="001C3859">
        <w:rPr>
          <w:rFonts w:cs="Arial"/>
        </w:rPr>
        <w:t>foodborne ou</w:t>
      </w:r>
      <w:r>
        <w:rPr>
          <w:rFonts w:cs="Arial"/>
        </w:rPr>
        <w:t>tbreaks in Australia for 2010–</w:t>
      </w:r>
      <w:r w:rsidRPr="001C3859">
        <w:rPr>
          <w:rFonts w:cs="Arial"/>
        </w:rPr>
        <w:t xml:space="preserve">2017 was 1,257. Of these, 970 </w:t>
      </w:r>
      <w:r>
        <w:rPr>
          <w:rFonts w:cs="Arial"/>
        </w:rPr>
        <w:t xml:space="preserve">(77%) </w:t>
      </w:r>
      <w:r w:rsidRPr="001C3859">
        <w:rPr>
          <w:rFonts w:cs="Arial"/>
        </w:rPr>
        <w:t>were associated with food prepared in the food servi</w:t>
      </w:r>
      <w:r>
        <w:rPr>
          <w:rFonts w:cs="Arial"/>
        </w:rPr>
        <w:t>ce and retail settings that are</w:t>
      </w:r>
      <w:r w:rsidRPr="001C3859">
        <w:rPr>
          <w:rFonts w:cs="Arial"/>
        </w:rPr>
        <w:t xml:space="preserve"> </w:t>
      </w:r>
      <w:r>
        <w:rPr>
          <w:rFonts w:cs="Arial"/>
        </w:rPr>
        <w:t>the focus of</w:t>
      </w:r>
      <w:r w:rsidRPr="001C3859">
        <w:rPr>
          <w:rFonts w:cs="Arial"/>
        </w:rPr>
        <w:t xml:space="preserve"> this proposal. The 970 outbreaks resulted in 15,286 people being reported ill, 1,371 of </w:t>
      </w:r>
      <w:r>
        <w:rPr>
          <w:rFonts w:cs="Arial"/>
        </w:rPr>
        <w:t>which were</w:t>
      </w:r>
      <w:r w:rsidRPr="001C3859">
        <w:rPr>
          <w:rFonts w:cs="Arial"/>
        </w:rPr>
        <w:t xml:space="preserve"> hospitalised, and 34 fatalities. </w:t>
      </w:r>
      <w:r>
        <w:rPr>
          <w:rFonts w:cs="Arial"/>
        </w:rPr>
        <w:t>However, the true nature and size of the problem is likely to be much larger as many cases are not reported.</w:t>
      </w:r>
    </w:p>
    <w:p w14:paraId="591D3BC5" w14:textId="17FA1852" w:rsidR="00CB7716" w:rsidRDefault="00CB7716" w:rsidP="004F36C6">
      <w:pPr>
        <w:spacing w:after="240"/>
      </w:pPr>
      <w:r>
        <w:t xml:space="preserve">FSANZ categorised food businesses based on risk profiling their food handling activities and association with foodborne illness outbreaks. This categorisation allows for graduated regulation, based on the risk the business potentially poses. </w:t>
      </w:r>
    </w:p>
    <w:p w14:paraId="518AEBED" w14:textId="77777777" w:rsidR="00CB7716" w:rsidRDefault="00CB7716" w:rsidP="00CB7716">
      <w:pPr>
        <w:spacing w:after="240"/>
        <w:rPr>
          <w:rFonts w:cs="Arial"/>
          <w:color w:val="000000"/>
        </w:rPr>
      </w:pPr>
      <w:r>
        <w:rPr>
          <w:rFonts w:cs="Arial"/>
          <w:b/>
          <w:color w:val="000000"/>
        </w:rPr>
        <w:t>Businesses in-scope for P1053</w:t>
      </w:r>
      <w:r w:rsidRPr="0034278D">
        <w:rPr>
          <w:rFonts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9"/>
        <w:gridCol w:w="2977"/>
      </w:tblGrid>
      <w:tr w:rsidR="00CB7716" w:rsidRPr="00661A6E" w14:paraId="003E20FE" w14:textId="77777777" w:rsidTr="6A61D147">
        <w:tc>
          <w:tcPr>
            <w:tcW w:w="2830" w:type="dxa"/>
            <w:shd w:val="clear" w:color="auto" w:fill="D9D9D9" w:themeFill="background1" w:themeFillShade="D9"/>
          </w:tcPr>
          <w:p w14:paraId="5989CA7F" w14:textId="77777777" w:rsidR="00CB7716" w:rsidRPr="00661A6E" w:rsidRDefault="00CB7716" w:rsidP="00CB7716">
            <w:pPr>
              <w:spacing w:after="170"/>
              <w:rPr>
                <w:rFonts w:cs="Arial"/>
                <w:color w:val="000000"/>
                <w:sz w:val="20"/>
              </w:rPr>
            </w:pPr>
            <w:r w:rsidRPr="00FB58FD">
              <w:rPr>
                <w:rFonts w:cs="Arial"/>
                <w:color w:val="000000"/>
                <w:sz w:val="20"/>
              </w:rPr>
              <w:t>Category 1</w:t>
            </w:r>
            <w:r w:rsidRPr="00661A6E">
              <w:rPr>
                <w:rFonts w:cs="Arial"/>
                <w:color w:val="000000"/>
                <w:sz w:val="20"/>
              </w:rPr>
              <w:t xml:space="preserve"> </w:t>
            </w:r>
          </w:p>
        </w:tc>
        <w:tc>
          <w:tcPr>
            <w:tcW w:w="3119" w:type="dxa"/>
            <w:shd w:val="clear" w:color="auto" w:fill="D9D9D9" w:themeFill="background1" w:themeFillShade="D9"/>
          </w:tcPr>
          <w:p w14:paraId="162A5D74" w14:textId="77777777" w:rsidR="00CB7716" w:rsidRPr="00FB58FD" w:rsidRDefault="00CB7716" w:rsidP="00CB7716">
            <w:pPr>
              <w:spacing w:after="170"/>
              <w:rPr>
                <w:rFonts w:cs="Arial"/>
                <w:color w:val="000000"/>
                <w:sz w:val="20"/>
              </w:rPr>
            </w:pPr>
            <w:r w:rsidRPr="00FB58FD">
              <w:rPr>
                <w:rFonts w:cs="Arial"/>
                <w:color w:val="000000"/>
                <w:sz w:val="20"/>
              </w:rPr>
              <w:t xml:space="preserve">Category 2 </w:t>
            </w:r>
          </w:p>
        </w:tc>
        <w:tc>
          <w:tcPr>
            <w:tcW w:w="2977" w:type="dxa"/>
            <w:shd w:val="clear" w:color="auto" w:fill="D9D9D9" w:themeFill="background1" w:themeFillShade="D9"/>
          </w:tcPr>
          <w:p w14:paraId="724FF385" w14:textId="77777777" w:rsidR="00CB7716" w:rsidRPr="00FB58FD" w:rsidRDefault="00CB7716" w:rsidP="00CB7716">
            <w:pPr>
              <w:spacing w:after="170"/>
              <w:rPr>
                <w:rFonts w:cs="Arial"/>
                <w:color w:val="000000"/>
                <w:sz w:val="20"/>
              </w:rPr>
            </w:pPr>
            <w:r w:rsidRPr="00FB58FD">
              <w:rPr>
                <w:rFonts w:cs="Arial"/>
                <w:color w:val="000000"/>
                <w:sz w:val="20"/>
              </w:rPr>
              <w:t xml:space="preserve">Category 3 </w:t>
            </w:r>
          </w:p>
        </w:tc>
      </w:tr>
      <w:tr w:rsidR="006E77ED" w:rsidRPr="00661A6E" w14:paraId="331437A0" w14:textId="77777777" w:rsidTr="6A61D147">
        <w:trPr>
          <w:trHeight w:val="1950"/>
        </w:trPr>
        <w:tc>
          <w:tcPr>
            <w:tcW w:w="2830" w:type="dxa"/>
          </w:tcPr>
          <w:p w14:paraId="164936AF" w14:textId="450E132B" w:rsidR="006E77ED" w:rsidRPr="00FB58FD" w:rsidRDefault="006E77ED" w:rsidP="6A61D147">
            <w:pPr>
              <w:spacing w:after="170"/>
              <w:rPr>
                <w:rFonts w:cs="Arial"/>
                <w:color w:val="000000"/>
                <w:sz w:val="20"/>
                <w:szCs w:val="20"/>
              </w:rPr>
            </w:pPr>
            <w:r w:rsidRPr="6A61D147">
              <w:rPr>
                <w:rFonts w:cs="Arial"/>
                <w:color w:val="000000" w:themeColor="text1"/>
                <w:sz w:val="20"/>
                <w:szCs w:val="20"/>
              </w:rPr>
              <w:t>Food service/caterers that both make and sell potentially hazardous food (PHF)</w:t>
            </w:r>
          </w:p>
          <w:p w14:paraId="6A84647F" w14:textId="587EAA0B" w:rsidR="006E77ED" w:rsidRPr="00FB58FD" w:rsidRDefault="006E77ED" w:rsidP="6A61D147">
            <w:pPr>
              <w:spacing w:after="170"/>
              <w:rPr>
                <w:rFonts w:cs="Arial"/>
                <w:color w:val="000000"/>
                <w:sz w:val="20"/>
                <w:szCs w:val="20"/>
              </w:rPr>
            </w:pPr>
            <w:r w:rsidRPr="6A61D147">
              <w:rPr>
                <w:rFonts w:cs="Arial"/>
                <w:color w:val="000000" w:themeColor="text1"/>
                <w:sz w:val="20"/>
                <w:szCs w:val="20"/>
              </w:rPr>
              <w:t>e.g. restaurants, takeaways, caterers, bakeries and delis that make and sell PHF</w:t>
            </w:r>
          </w:p>
        </w:tc>
        <w:tc>
          <w:tcPr>
            <w:tcW w:w="3119" w:type="dxa"/>
          </w:tcPr>
          <w:p w14:paraId="03F76632" w14:textId="0A94C286" w:rsidR="006E77ED" w:rsidRPr="00FB58FD" w:rsidRDefault="006E77ED" w:rsidP="6A61D147">
            <w:pPr>
              <w:spacing w:after="170"/>
              <w:rPr>
                <w:rFonts w:cs="Arial"/>
                <w:color w:val="000000"/>
                <w:sz w:val="20"/>
                <w:szCs w:val="20"/>
              </w:rPr>
            </w:pPr>
            <w:r w:rsidRPr="6A61D147">
              <w:rPr>
                <w:rFonts w:cs="Arial"/>
                <w:color w:val="000000" w:themeColor="text1"/>
                <w:sz w:val="20"/>
                <w:szCs w:val="20"/>
              </w:rPr>
              <w:t>Retailers that only sell PHF (do not make it)</w:t>
            </w:r>
          </w:p>
          <w:p w14:paraId="74104D21" w14:textId="2F718222" w:rsidR="006E77ED" w:rsidRPr="00FB58FD" w:rsidRDefault="006E77ED" w:rsidP="6A61D147">
            <w:pPr>
              <w:spacing w:after="170"/>
              <w:rPr>
                <w:rFonts w:cs="Arial"/>
                <w:color w:val="000000"/>
                <w:sz w:val="20"/>
                <w:szCs w:val="20"/>
              </w:rPr>
            </w:pPr>
            <w:r w:rsidRPr="6A61D147">
              <w:rPr>
                <w:rFonts w:cs="Arial"/>
                <w:color w:val="000000" w:themeColor="text1"/>
                <w:sz w:val="20"/>
                <w:szCs w:val="20"/>
              </w:rPr>
              <w:t>e.g. delicatessens and bakeries that don't make PHF onsite, cafes selling PHF made by another business</w:t>
            </w:r>
          </w:p>
        </w:tc>
        <w:tc>
          <w:tcPr>
            <w:tcW w:w="2977" w:type="dxa"/>
          </w:tcPr>
          <w:p w14:paraId="7AB9C5DE" w14:textId="53C99BCA" w:rsidR="006E77ED" w:rsidRPr="00FB58FD" w:rsidRDefault="006E77ED" w:rsidP="6A61D147">
            <w:pPr>
              <w:spacing w:after="170"/>
              <w:rPr>
                <w:rFonts w:cs="Arial"/>
                <w:color w:val="000000"/>
                <w:sz w:val="20"/>
                <w:szCs w:val="20"/>
              </w:rPr>
            </w:pPr>
            <w:r w:rsidRPr="6A61D147">
              <w:rPr>
                <w:rFonts w:cs="Arial"/>
                <w:color w:val="000000" w:themeColor="text1"/>
                <w:sz w:val="20"/>
                <w:szCs w:val="20"/>
              </w:rPr>
              <w:t>Businesses that only sell pre-packaged PHF (that remains packaged for sale)</w:t>
            </w:r>
          </w:p>
          <w:p w14:paraId="306BCFEB" w14:textId="106FAA54" w:rsidR="006E77ED" w:rsidRPr="00FB58FD" w:rsidRDefault="006E77ED" w:rsidP="6A61D147">
            <w:pPr>
              <w:spacing w:after="170"/>
              <w:rPr>
                <w:rFonts w:cs="Arial"/>
                <w:color w:val="000000"/>
                <w:sz w:val="20"/>
                <w:szCs w:val="20"/>
              </w:rPr>
            </w:pPr>
            <w:r w:rsidRPr="6A61D147">
              <w:rPr>
                <w:rFonts w:cs="Arial"/>
                <w:color w:val="000000" w:themeColor="text1"/>
                <w:sz w:val="20"/>
                <w:szCs w:val="20"/>
              </w:rPr>
              <w:t>e.g. service stations, some cafes or stalls</w:t>
            </w:r>
          </w:p>
        </w:tc>
      </w:tr>
    </w:tbl>
    <w:p w14:paraId="18CEDAB8" w14:textId="77777777" w:rsidR="00CB7716" w:rsidRDefault="00CB7716" w:rsidP="00CB7716"/>
    <w:p w14:paraId="52A97792" w14:textId="22C9663A" w:rsidR="00CB7716" w:rsidRDefault="00CB7716" w:rsidP="004F36C6">
      <w:pPr>
        <w:spacing w:after="240"/>
      </w:pPr>
      <w:r>
        <w:t xml:space="preserve">In managing the risks occurring within each businesses’ risk category, FSANZ considered the status quo, self-regulation, food safety management tools as regulatory requirements </w:t>
      </w:r>
      <w:r>
        <w:lastRenderedPageBreak/>
        <w:t>that apply to all businesses in these sectors, and a targeted combination of regulatory measures based on differing food safety risks.</w:t>
      </w:r>
    </w:p>
    <w:p w14:paraId="1E0A084B" w14:textId="77777777" w:rsidR="00643567" w:rsidRDefault="00CB7716" w:rsidP="004F36C6">
      <w:pPr>
        <w:spacing w:after="240"/>
        <w:rPr>
          <w:rFonts w:cs="Arial"/>
        </w:rPr>
      </w:pPr>
      <w:r>
        <w:rPr>
          <w:rFonts w:cs="Arial"/>
        </w:rPr>
        <w:t xml:space="preserve">States and territories currently regulate these differently; </w:t>
      </w:r>
      <w:bookmarkStart w:id="215" w:name="_Int_semblidX"/>
      <w:r>
        <w:rPr>
          <w:rFonts w:cs="Arial"/>
        </w:rPr>
        <w:t>thus</w:t>
      </w:r>
      <w:bookmarkEnd w:id="215"/>
      <w:r>
        <w:rPr>
          <w:rFonts w:cs="Arial"/>
        </w:rPr>
        <w:t xml:space="preserve"> there are different ‘gaps’ between the options proposed and status quo in each jurisdiction.</w:t>
      </w:r>
    </w:p>
    <w:p w14:paraId="6B266C59" w14:textId="4352DF3F" w:rsidR="00CB7716" w:rsidRDefault="00CB7716" w:rsidP="004F36C6">
      <w:pPr>
        <w:rPr>
          <w:rFonts w:cs="Arial"/>
          <w:b/>
          <w:color w:val="000000"/>
        </w:rPr>
      </w:pPr>
      <w:r w:rsidRPr="00BC1C8E">
        <w:rPr>
          <w:rFonts w:cs="Arial"/>
          <w:b/>
          <w:color w:val="000000"/>
        </w:rPr>
        <w:t>Proposed regulatory requirements</w:t>
      </w:r>
    </w:p>
    <w:p w14:paraId="3C17832D" w14:textId="77777777" w:rsidR="00CB7716" w:rsidRPr="00BC1C8E" w:rsidRDefault="00CB7716" w:rsidP="004F36C6">
      <w:pPr>
        <w:spacing w:after="240"/>
        <w:rPr>
          <w:rFonts w:cs="Arial"/>
          <w:b/>
          <w:color w:val="000000"/>
        </w:rPr>
      </w:pPr>
      <w:r>
        <w:t xml:space="preserve">Our preferred approach is to amend the Australia New Zealand Food Standards Code to require a food safety supervisor (FSS), food handler training (FHT), and </w:t>
      </w:r>
      <w:r w:rsidRPr="002F2193">
        <w:t>evidence to substantiate food safety management</w:t>
      </w:r>
      <w:r>
        <w:t xml:space="preserve"> (E) depending on the category of food business. Our assessment is that there </w:t>
      </w:r>
      <w:bookmarkStart w:id="216" w:name="_Int_3ebH5Kvy"/>
      <w:r>
        <w:t>is</w:t>
      </w:r>
      <w:bookmarkEnd w:id="216"/>
      <w:r>
        <w:t xml:space="preserve"> no one-approach-fits-all businesses; measures need to be tailored based on the risk of a business’s food handling activities. These regulatory measures will be supported by </w:t>
      </w:r>
      <w:r w:rsidRPr="002F2193">
        <w:t xml:space="preserve">non-regulatory tools that focus on food safety culture and education.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1"/>
        <w:gridCol w:w="2257"/>
      </w:tblGrid>
      <w:tr w:rsidR="00CB7716" w14:paraId="20D4288A" w14:textId="77777777" w:rsidTr="006E77ED">
        <w:tc>
          <w:tcPr>
            <w:tcW w:w="2265" w:type="dxa"/>
            <w:shd w:val="clear" w:color="auto" w:fill="D9D9D9" w:themeFill="background1" w:themeFillShade="D9"/>
          </w:tcPr>
          <w:p w14:paraId="6D101E1A" w14:textId="77777777" w:rsidR="00CB7716" w:rsidRDefault="00CB7716" w:rsidP="00CB7716">
            <w:pPr>
              <w:spacing w:after="170"/>
              <w:rPr>
                <w:lang w:val="en-AU"/>
              </w:rPr>
            </w:pPr>
            <w:r>
              <w:rPr>
                <w:lang w:val="en-AU"/>
              </w:rPr>
              <w:t>Business category</w:t>
            </w:r>
          </w:p>
        </w:tc>
        <w:tc>
          <w:tcPr>
            <w:tcW w:w="2265" w:type="dxa"/>
            <w:shd w:val="clear" w:color="auto" w:fill="D9D9D9" w:themeFill="background1" w:themeFillShade="D9"/>
          </w:tcPr>
          <w:p w14:paraId="1E5FB399" w14:textId="77777777" w:rsidR="00CB7716" w:rsidRDefault="00CB7716" w:rsidP="00CB7716">
            <w:pPr>
              <w:spacing w:after="170"/>
              <w:rPr>
                <w:lang w:val="en-AU"/>
              </w:rPr>
            </w:pPr>
            <w:r>
              <w:rPr>
                <w:lang w:val="en-AU"/>
              </w:rPr>
              <w:t>Food safety supervisor</w:t>
            </w:r>
          </w:p>
        </w:tc>
        <w:tc>
          <w:tcPr>
            <w:tcW w:w="2265" w:type="dxa"/>
            <w:shd w:val="clear" w:color="auto" w:fill="D9D9D9" w:themeFill="background1" w:themeFillShade="D9"/>
          </w:tcPr>
          <w:p w14:paraId="5879BAA4" w14:textId="77777777" w:rsidR="00CB7716" w:rsidRDefault="00CB7716" w:rsidP="00CB7716">
            <w:pPr>
              <w:spacing w:after="170"/>
              <w:rPr>
                <w:lang w:val="en-AU"/>
              </w:rPr>
            </w:pPr>
            <w:r>
              <w:rPr>
                <w:lang w:val="en-AU"/>
              </w:rPr>
              <w:t>Food handler training</w:t>
            </w:r>
          </w:p>
        </w:tc>
        <w:tc>
          <w:tcPr>
            <w:tcW w:w="2265" w:type="dxa"/>
            <w:shd w:val="clear" w:color="auto" w:fill="D9D9D9" w:themeFill="background1" w:themeFillShade="D9"/>
          </w:tcPr>
          <w:p w14:paraId="50F9F90C" w14:textId="77777777" w:rsidR="00CB7716" w:rsidRDefault="00CB7716" w:rsidP="00CB7716">
            <w:pPr>
              <w:spacing w:after="170"/>
              <w:rPr>
                <w:lang w:val="en-AU"/>
              </w:rPr>
            </w:pPr>
            <w:r>
              <w:rPr>
                <w:lang w:val="en-AU"/>
              </w:rPr>
              <w:t>Keeping evidence of critical process management</w:t>
            </w:r>
          </w:p>
        </w:tc>
      </w:tr>
      <w:tr w:rsidR="00CB7716" w14:paraId="4C771C91" w14:textId="77777777" w:rsidTr="006E77ED">
        <w:tc>
          <w:tcPr>
            <w:tcW w:w="2265" w:type="dxa"/>
            <w:shd w:val="clear" w:color="auto" w:fill="D9D9D9" w:themeFill="background1" w:themeFillShade="D9"/>
          </w:tcPr>
          <w:p w14:paraId="0623EE2F" w14:textId="3FD7C66B" w:rsidR="00CB7716" w:rsidRPr="00661A6E" w:rsidRDefault="00CB7716" w:rsidP="00CB7716">
            <w:pPr>
              <w:spacing w:after="170"/>
              <w:rPr>
                <w:rFonts w:cs="Arial"/>
                <w:color w:val="000000"/>
                <w:sz w:val="20"/>
              </w:rPr>
            </w:pPr>
            <w:r w:rsidRPr="009C45BF">
              <w:rPr>
                <w:rFonts w:cs="Arial"/>
                <w:color w:val="000000"/>
                <w:sz w:val="20"/>
              </w:rPr>
              <w:t>Category 1</w:t>
            </w:r>
          </w:p>
        </w:tc>
        <w:tc>
          <w:tcPr>
            <w:tcW w:w="2265" w:type="dxa"/>
          </w:tcPr>
          <w:p w14:paraId="2B752F75" w14:textId="77777777" w:rsidR="00CB7716" w:rsidRDefault="00CB7716" w:rsidP="00CB7716">
            <w:pPr>
              <w:spacing w:after="170"/>
              <w:jc w:val="center"/>
              <w:rPr>
                <w:lang w:val="en-AU"/>
              </w:rPr>
            </w:pPr>
            <w:r w:rsidRPr="00661A6E">
              <w:rPr>
                <w:rFonts w:ascii="Wingdings 2" w:eastAsia="Wingdings 2" w:hAnsi="Wingdings 2" w:cs="Wingdings 2"/>
                <w:sz w:val="24"/>
                <w:lang w:val="en-AU"/>
              </w:rPr>
              <w:t></w:t>
            </w:r>
          </w:p>
        </w:tc>
        <w:tc>
          <w:tcPr>
            <w:tcW w:w="2265" w:type="dxa"/>
          </w:tcPr>
          <w:p w14:paraId="49AA5FB0" w14:textId="77777777" w:rsidR="00CB7716" w:rsidRDefault="00CB7716" w:rsidP="00CB7716">
            <w:pPr>
              <w:spacing w:after="170"/>
              <w:jc w:val="center"/>
              <w:rPr>
                <w:lang w:val="en-AU"/>
              </w:rPr>
            </w:pPr>
            <w:r w:rsidRPr="00B54EE6">
              <w:rPr>
                <w:rFonts w:ascii="Wingdings 2" w:eastAsia="Wingdings 2" w:hAnsi="Wingdings 2" w:cs="Wingdings 2"/>
                <w:sz w:val="24"/>
                <w:lang w:val="en-AU"/>
              </w:rPr>
              <w:t></w:t>
            </w:r>
          </w:p>
        </w:tc>
        <w:tc>
          <w:tcPr>
            <w:tcW w:w="2265" w:type="dxa"/>
          </w:tcPr>
          <w:p w14:paraId="2825C804" w14:textId="77777777" w:rsidR="00CB7716" w:rsidRDefault="00CB7716" w:rsidP="00CB7716">
            <w:pPr>
              <w:spacing w:after="170"/>
              <w:jc w:val="center"/>
              <w:rPr>
                <w:lang w:val="en-AU"/>
              </w:rPr>
            </w:pPr>
            <w:r w:rsidRPr="00B54EE6">
              <w:rPr>
                <w:rFonts w:ascii="Wingdings 2" w:eastAsia="Wingdings 2" w:hAnsi="Wingdings 2" w:cs="Wingdings 2"/>
                <w:sz w:val="24"/>
                <w:lang w:val="en-AU"/>
              </w:rPr>
              <w:t></w:t>
            </w:r>
          </w:p>
        </w:tc>
      </w:tr>
      <w:tr w:rsidR="00CB7716" w14:paraId="06729EB9" w14:textId="77777777" w:rsidTr="006E77ED">
        <w:tc>
          <w:tcPr>
            <w:tcW w:w="2265" w:type="dxa"/>
            <w:shd w:val="clear" w:color="auto" w:fill="D9D9D9" w:themeFill="background1" w:themeFillShade="D9"/>
          </w:tcPr>
          <w:p w14:paraId="108FBBB9" w14:textId="77777777" w:rsidR="00CB7716" w:rsidRPr="00661A6E" w:rsidRDefault="00CB7716" w:rsidP="00CB7716">
            <w:pPr>
              <w:spacing w:after="170"/>
              <w:rPr>
                <w:rFonts w:cs="Arial"/>
                <w:color w:val="000000"/>
                <w:sz w:val="20"/>
              </w:rPr>
            </w:pPr>
            <w:r w:rsidRPr="009C45BF">
              <w:rPr>
                <w:rFonts w:cs="Arial"/>
                <w:color w:val="000000"/>
                <w:sz w:val="20"/>
              </w:rPr>
              <w:t xml:space="preserve">Category 2 </w:t>
            </w:r>
          </w:p>
        </w:tc>
        <w:tc>
          <w:tcPr>
            <w:tcW w:w="2265" w:type="dxa"/>
          </w:tcPr>
          <w:p w14:paraId="752161E6" w14:textId="77777777" w:rsidR="00CB7716" w:rsidRDefault="00CB7716" w:rsidP="00CB7716">
            <w:pPr>
              <w:spacing w:after="170"/>
              <w:jc w:val="center"/>
              <w:rPr>
                <w:lang w:val="en-AU"/>
              </w:rPr>
            </w:pPr>
            <w:r w:rsidRPr="003F59BB">
              <w:rPr>
                <w:rFonts w:ascii="Wingdings 2" w:eastAsia="Wingdings 2" w:hAnsi="Wingdings 2" w:cs="Wingdings 2"/>
                <w:sz w:val="24"/>
                <w:lang w:val="en-AU"/>
              </w:rPr>
              <w:t></w:t>
            </w:r>
          </w:p>
        </w:tc>
        <w:tc>
          <w:tcPr>
            <w:tcW w:w="2265" w:type="dxa"/>
          </w:tcPr>
          <w:p w14:paraId="1CB5AF84" w14:textId="77777777" w:rsidR="00CB7716" w:rsidRDefault="00CB7716" w:rsidP="00CB7716">
            <w:pPr>
              <w:spacing w:after="170"/>
              <w:jc w:val="center"/>
              <w:rPr>
                <w:lang w:val="en-AU"/>
              </w:rPr>
            </w:pPr>
            <w:r w:rsidRPr="003F59BB">
              <w:rPr>
                <w:rFonts w:ascii="Wingdings 2" w:eastAsia="Wingdings 2" w:hAnsi="Wingdings 2" w:cs="Wingdings 2"/>
                <w:sz w:val="24"/>
                <w:lang w:val="en-AU"/>
              </w:rPr>
              <w:t></w:t>
            </w:r>
          </w:p>
        </w:tc>
        <w:tc>
          <w:tcPr>
            <w:tcW w:w="2265" w:type="dxa"/>
          </w:tcPr>
          <w:p w14:paraId="011B1148" w14:textId="77777777" w:rsidR="00CB7716" w:rsidRDefault="00CB7716" w:rsidP="00CB7716">
            <w:pPr>
              <w:spacing w:after="170"/>
              <w:jc w:val="center"/>
              <w:rPr>
                <w:lang w:val="en-AU"/>
              </w:rPr>
            </w:pPr>
            <w:r>
              <w:rPr>
                <w:lang w:val="en-AU"/>
              </w:rPr>
              <w:t>X</w:t>
            </w:r>
          </w:p>
        </w:tc>
      </w:tr>
      <w:tr w:rsidR="00CB7716" w14:paraId="23EEAA10" w14:textId="77777777" w:rsidTr="006E77ED">
        <w:tc>
          <w:tcPr>
            <w:tcW w:w="2265" w:type="dxa"/>
            <w:vMerge w:val="restart"/>
            <w:shd w:val="clear" w:color="auto" w:fill="D9D9D9" w:themeFill="background1" w:themeFillShade="D9"/>
          </w:tcPr>
          <w:p w14:paraId="763FCF16" w14:textId="77777777" w:rsidR="00CB7716" w:rsidRPr="00661A6E" w:rsidRDefault="00CB7716" w:rsidP="00CB7716">
            <w:pPr>
              <w:spacing w:after="170"/>
              <w:rPr>
                <w:rFonts w:cs="Arial"/>
                <w:color w:val="000000"/>
                <w:sz w:val="20"/>
              </w:rPr>
            </w:pPr>
            <w:r w:rsidRPr="009C45BF">
              <w:rPr>
                <w:rFonts w:cs="Arial"/>
                <w:color w:val="000000"/>
                <w:sz w:val="20"/>
              </w:rPr>
              <w:t xml:space="preserve">Category 3 </w:t>
            </w:r>
          </w:p>
        </w:tc>
        <w:tc>
          <w:tcPr>
            <w:tcW w:w="2265" w:type="dxa"/>
          </w:tcPr>
          <w:p w14:paraId="08F866F4" w14:textId="77777777" w:rsidR="00CB7716" w:rsidRDefault="00CB7716" w:rsidP="00CB7716">
            <w:pPr>
              <w:spacing w:after="170"/>
              <w:jc w:val="center"/>
              <w:rPr>
                <w:lang w:val="en-AU"/>
              </w:rPr>
            </w:pPr>
            <w:r>
              <w:rPr>
                <w:lang w:val="en-AU"/>
              </w:rPr>
              <w:t>X</w:t>
            </w:r>
          </w:p>
        </w:tc>
        <w:tc>
          <w:tcPr>
            <w:tcW w:w="2265" w:type="dxa"/>
          </w:tcPr>
          <w:p w14:paraId="3C925EB4" w14:textId="77777777" w:rsidR="00CB7716" w:rsidRDefault="00CB7716" w:rsidP="00CB7716">
            <w:pPr>
              <w:spacing w:after="170"/>
              <w:jc w:val="center"/>
              <w:rPr>
                <w:lang w:val="en-AU"/>
              </w:rPr>
            </w:pPr>
            <w:r>
              <w:rPr>
                <w:lang w:val="en-AU"/>
              </w:rPr>
              <w:t>X</w:t>
            </w:r>
          </w:p>
        </w:tc>
        <w:tc>
          <w:tcPr>
            <w:tcW w:w="2265" w:type="dxa"/>
          </w:tcPr>
          <w:p w14:paraId="564804D8" w14:textId="77777777" w:rsidR="00CB7716" w:rsidRDefault="00CB7716" w:rsidP="00CB7716">
            <w:pPr>
              <w:spacing w:after="170"/>
              <w:jc w:val="center"/>
              <w:rPr>
                <w:lang w:val="en-AU"/>
              </w:rPr>
            </w:pPr>
            <w:r>
              <w:rPr>
                <w:lang w:val="en-AU"/>
              </w:rPr>
              <w:t>X</w:t>
            </w:r>
          </w:p>
        </w:tc>
      </w:tr>
      <w:tr w:rsidR="00CB7716" w14:paraId="569FEB0F" w14:textId="77777777" w:rsidTr="006E77ED">
        <w:trPr>
          <w:trHeight w:val="261"/>
        </w:trPr>
        <w:tc>
          <w:tcPr>
            <w:tcW w:w="2265" w:type="dxa"/>
            <w:vMerge/>
            <w:shd w:val="clear" w:color="auto" w:fill="D9D9D9" w:themeFill="background1" w:themeFillShade="D9"/>
          </w:tcPr>
          <w:p w14:paraId="15FEE841" w14:textId="77777777" w:rsidR="00CB7716" w:rsidRPr="00661A6E" w:rsidRDefault="00CB7716" w:rsidP="00CB7716">
            <w:pPr>
              <w:spacing w:after="170"/>
              <w:rPr>
                <w:rFonts w:cs="Arial"/>
                <w:color w:val="000000"/>
                <w:sz w:val="20"/>
              </w:rPr>
            </w:pPr>
          </w:p>
        </w:tc>
        <w:tc>
          <w:tcPr>
            <w:tcW w:w="6795" w:type="dxa"/>
            <w:gridSpan w:val="3"/>
          </w:tcPr>
          <w:p w14:paraId="6F20C12E" w14:textId="77777777" w:rsidR="00CB7716" w:rsidRDefault="00CB7716" w:rsidP="00CB7716">
            <w:pPr>
              <w:spacing w:after="170"/>
              <w:rPr>
                <w:lang w:val="en-AU"/>
              </w:rPr>
            </w:pPr>
            <w:r>
              <w:rPr>
                <w:lang w:val="en-AU"/>
              </w:rPr>
              <w:t>non-regulatory measures</w:t>
            </w:r>
            <w:r w:rsidRPr="001806A3">
              <w:rPr>
                <w:bCs/>
              </w:rPr>
              <w:t xml:space="preserve"> </w:t>
            </w:r>
            <w:r>
              <w:rPr>
                <w:bCs/>
              </w:rPr>
              <w:t xml:space="preserve">only - </w:t>
            </w:r>
            <w:r w:rsidRPr="001806A3">
              <w:rPr>
                <w:bCs/>
              </w:rPr>
              <w:t>targeted education on temperature control</w:t>
            </w:r>
          </w:p>
        </w:tc>
      </w:tr>
    </w:tbl>
    <w:p w14:paraId="50098746" w14:textId="77777777" w:rsidR="00CB7716" w:rsidRDefault="00CB7716" w:rsidP="00CB7716"/>
    <w:p w14:paraId="189766B1" w14:textId="42A2CED4" w:rsidR="00CB7716" w:rsidRDefault="00CB7716" w:rsidP="004F36C6">
      <w:pPr>
        <w:spacing w:after="240"/>
      </w:pPr>
      <w:r>
        <w:t>Our cost–benefit analysis demonstrates net benefits for the preferred options. In addition to cost-benefit, we also considered ‘fit-for-purpose’ or appropriateness of each food safety management tool, rather than relying on economic modelling alone. Therefore, the option with the largest net benefit is not necessarily the preferred option. Less onerous regulatory options have been determined to fit better with the capabilities and resources of industry and regulators in some instances. The regulatory tools identified are considered practical, readily implementable and sustainable. There are also existing resources available to support their understanding and implementation.</w:t>
      </w:r>
    </w:p>
    <w:p w14:paraId="034B5B1D" w14:textId="1E4A3213" w:rsidR="00CB7716" w:rsidRDefault="00CB7716" w:rsidP="004F36C6">
      <w:pPr>
        <w:spacing w:after="240"/>
        <w:rPr>
          <w:lang w:val="en-AU"/>
        </w:rPr>
      </w:pPr>
      <w:r w:rsidRPr="68C0CA2D">
        <w:rPr>
          <w:lang w:val="en-AU"/>
        </w:rPr>
        <w:t xml:space="preserve">There has already been consultation on this Proposal P1053. This included consultation on a Consultation RIS (CRIS) that was approved by the Office of Best Practice Regulation (OBPR), Ref ID </w:t>
      </w:r>
      <w:r w:rsidRPr="68C0CA2D">
        <w:rPr>
          <w:lang w:val="en-US"/>
        </w:rPr>
        <w:t>OBPR21-01217</w:t>
      </w:r>
      <w:r w:rsidRPr="68C0CA2D">
        <w:rPr>
          <w:lang w:val="en-AU"/>
        </w:rPr>
        <w:t xml:space="preserve">. </w:t>
      </w:r>
    </w:p>
    <w:p w14:paraId="7CF30D98" w14:textId="08790F80" w:rsidR="00CB7716" w:rsidRDefault="00CB7716" w:rsidP="004F36C6">
      <w:pPr>
        <w:spacing w:after="240"/>
        <w:rPr>
          <w:lang w:val="en-AU"/>
        </w:rPr>
      </w:pPr>
      <w:r>
        <w:rPr>
          <w:lang w:val="en-AU"/>
        </w:rPr>
        <w:t>Since the CRIS</w:t>
      </w:r>
      <w:r w:rsidRPr="1E7A4307">
        <w:rPr>
          <w:lang w:val="en-AU"/>
        </w:rPr>
        <w:t>,</w:t>
      </w:r>
      <w:r>
        <w:rPr>
          <w:lang w:val="en-AU"/>
        </w:rPr>
        <w:t xml:space="preserve"> FSANZ has also received finalised estimates from the Australian National University of the cost of illness</w:t>
      </w:r>
      <w:r w:rsidRPr="1E7A4307">
        <w:rPr>
          <w:lang w:val="en-AU"/>
        </w:rPr>
        <w:t>,</w:t>
      </w:r>
      <w:r>
        <w:rPr>
          <w:lang w:val="en-AU"/>
        </w:rPr>
        <w:t xml:space="preserve"> which has resulted in some revisions to the cost of illness used in the modelling (Glass et al. 2022). These revisions have resulted in a relatively small increase in the estimated net benefit.</w:t>
      </w:r>
    </w:p>
    <w:p w14:paraId="135D8AEB" w14:textId="77777777" w:rsidR="00CB7716" w:rsidRPr="0053081F" w:rsidRDefault="00CB7716" w:rsidP="004F36C6">
      <w:pPr>
        <w:rPr>
          <w:rFonts w:cs="Arial"/>
          <w:b/>
          <w:bCs/>
        </w:rPr>
      </w:pPr>
      <w:r w:rsidRPr="68C0CA2D">
        <w:rPr>
          <w:rFonts w:cs="Arial"/>
          <w:b/>
          <w:bCs/>
        </w:rPr>
        <w:t>Commencement period</w:t>
      </w:r>
    </w:p>
    <w:p w14:paraId="06A705CF" w14:textId="77777777" w:rsidR="00CB7716" w:rsidRPr="00530035" w:rsidRDefault="00CB7716" w:rsidP="004F36C6">
      <w:pPr>
        <w:spacing w:after="240"/>
      </w:pPr>
      <w:r>
        <w:t>FSANZ is proposing</w:t>
      </w:r>
      <w:r w:rsidRPr="006B7E0B">
        <w:t xml:space="preserve"> a </w:t>
      </w:r>
      <w:r>
        <w:t>12-</w:t>
      </w:r>
      <w:r w:rsidRPr="00196D7E">
        <w:t xml:space="preserve">month </w:t>
      </w:r>
      <w:r>
        <w:t>commencement</w:t>
      </w:r>
      <w:r w:rsidRPr="00196D7E">
        <w:t xml:space="preserve"> period</w:t>
      </w:r>
      <w:r w:rsidRPr="006B7E0B">
        <w:t xml:space="preserve"> </w:t>
      </w:r>
      <w:r>
        <w:t>for the new standard, if it is gazetted</w:t>
      </w:r>
      <w:r w:rsidRPr="006B7E0B">
        <w:t xml:space="preserve">. </w:t>
      </w:r>
      <w:r>
        <w:t>Compliance with the proposed requirements would not be mandatory before then.</w:t>
      </w:r>
    </w:p>
    <w:p w14:paraId="50967EA9" w14:textId="77777777" w:rsidR="00CB7716" w:rsidRDefault="00CB7716" w:rsidP="00CB7716">
      <w:pPr>
        <w:rPr>
          <w:rFonts w:cs="Arial"/>
        </w:rPr>
        <w:sectPr w:rsidR="00CB7716" w:rsidSect="00CB7716">
          <w:headerReference w:type="even" r:id="rId42"/>
          <w:headerReference w:type="default" r:id="rId43"/>
          <w:footerReference w:type="even" r:id="rId44"/>
          <w:headerReference w:type="first" r:id="rId45"/>
          <w:footerReference w:type="first" r:id="rId46"/>
          <w:pgSz w:w="11906" w:h="16838"/>
          <w:pgMar w:top="1440" w:right="1440" w:bottom="1440" w:left="1440" w:header="709" w:footer="709" w:gutter="0"/>
          <w:cols w:space="708"/>
          <w:docGrid w:linePitch="360"/>
        </w:sectPr>
      </w:pPr>
    </w:p>
    <w:p w14:paraId="3885F688" w14:textId="77777777" w:rsidR="00CB7716" w:rsidRDefault="00CB7716" w:rsidP="00CF136E">
      <w:pPr>
        <w:pStyle w:val="Heading2"/>
        <w:numPr>
          <w:ilvl w:val="0"/>
          <w:numId w:val="0"/>
        </w:numPr>
        <w:ind w:left="576" w:hanging="576"/>
      </w:pPr>
      <w:bookmarkStart w:id="217" w:name="_Toc104808593"/>
      <w:bookmarkStart w:id="218" w:name="_Toc107412673"/>
      <w:bookmarkStart w:id="219" w:name="_Toc109300438"/>
      <w:r>
        <w:lastRenderedPageBreak/>
        <w:t>Table of Contents</w:t>
      </w:r>
      <w:bookmarkEnd w:id="217"/>
      <w:bookmarkEnd w:id="218"/>
      <w:bookmarkEnd w:id="219"/>
    </w:p>
    <w:p w14:paraId="064F90C8" w14:textId="77777777" w:rsidR="00CB7716" w:rsidRDefault="00CB7716" w:rsidP="00CB7716">
      <w:pPr>
        <w:pStyle w:val="TOC1"/>
        <w:tabs>
          <w:tab w:val="right" w:leader="dot" w:pos="9016"/>
        </w:tabs>
        <w:rPr>
          <w:rFonts w:eastAsiaTheme="minorEastAsia"/>
          <w:b w:val="0"/>
          <w:bCs w:val="0"/>
          <w:caps w:val="0"/>
          <w:noProof/>
          <w:sz w:val="22"/>
          <w:szCs w:val="22"/>
          <w:lang w:eastAsia="en-GB"/>
        </w:rPr>
      </w:pPr>
      <w:r>
        <w:rPr>
          <w:rFonts w:ascii="Arial" w:hAnsi="Arial" w:cs="Arial"/>
          <w:sz w:val="22"/>
          <w:szCs w:val="22"/>
        </w:rPr>
        <w:fldChar w:fldCharType="begin"/>
      </w:r>
      <w:r>
        <w:rPr>
          <w:rFonts w:ascii="Arial" w:hAnsi="Arial" w:cs="Arial"/>
          <w:sz w:val="22"/>
          <w:szCs w:val="22"/>
        </w:rPr>
        <w:instrText xml:space="preserve"> TOC \o "1-2" \h \z \u </w:instrText>
      </w:r>
      <w:r>
        <w:rPr>
          <w:rFonts w:ascii="Arial" w:hAnsi="Arial" w:cs="Arial"/>
          <w:sz w:val="22"/>
          <w:szCs w:val="22"/>
        </w:rPr>
        <w:fldChar w:fldCharType="separate"/>
      </w:r>
      <w:hyperlink w:anchor="_Toc104808592" w:history="1">
        <w:r w:rsidRPr="00C47040">
          <w:rPr>
            <w:rStyle w:val="Hyperlink"/>
            <w:noProof/>
          </w:rPr>
          <w:t>Executive summary</w:t>
        </w:r>
        <w:r>
          <w:rPr>
            <w:noProof/>
            <w:webHidden/>
          </w:rPr>
          <w:tab/>
        </w:r>
        <w:r>
          <w:rPr>
            <w:noProof/>
            <w:webHidden/>
          </w:rPr>
          <w:fldChar w:fldCharType="begin"/>
        </w:r>
        <w:r>
          <w:rPr>
            <w:noProof/>
            <w:webHidden/>
          </w:rPr>
          <w:instrText xml:space="preserve"> PAGEREF _Toc104808592 \h </w:instrText>
        </w:r>
        <w:r>
          <w:rPr>
            <w:noProof/>
            <w:webHidden/>
          </w:rPr>
        </w:r>
        <w:r>
          <w:rPr>
            <w:noProof/>
            <w:webHidden/>
          </w:rPr>
          <w:fldChar w:fldCharType="separate"/>
        </w:r>
        <w:r>
          <w:rPr>
            <w:noProof/>
            <w:webHidden/>
          </w:rPr>
          <w:t>1</w:t>
        </w:r>
        <w:r>
          <w:rPr>
            <w:noProof/>
            <w:webHidden/>
          </w:rPr>
          <w:fldChar w:fldCharType="end"/>
        </w:r>
      </w:hyperlink>
    </w:p>
    <w:p w14:paraId="3572062C" w14:textId="77777777" w:rsidR="00CB7716" w:rsidRDefault="00266CCA" w:rsidP="00CB7716">
      <w:pPr>
        <w:pStyle w:val="TOC1"/>
        <w:tabs>
          <w:tab w:val="right" w:leader="dot" w:pos="9016"/>
        </w:tabs>
        <w:rPr>
          <w:rFonts w:eastAsiaTheme="minorEastAsia"/>
          <w:b w:val="0"/>
          <w:bCs w:val="0"/>
          <w:caps w:val="0"/>
          <w:noProof/>
          <w:sz w:val="22"/>
          <w:szCs w:val="22"/>
          <w:lang w:eastAsia="en-GB"/>
        </w:rPr>
      </w:pPr>
      <w:hyperlink w:anchor="_Toc104808593" w:history="1">
        <w:r w:rsidR="00CB7716" w:rsidRPr="00C47040">
          <w:rPr>
            <w:rStyle w:val="Hyperlink"/>
            <w:noProof/>
          </w:rPr>
          <w:t>Table of Contents</w:t>
        </w:r>
        <w:r w:rsidR="00CB7716">
          <w:rPr>
            <w:noProof/>
            <w:webHidden/>
          </w:rPr>
          <w:tab/>
        </w:r>
        <w:r w:rsidR="00CB7716">
          <w:rPr>
            <w:noProof/>
            <w:webHidden/>
          </w:rPr>
          <w:fldChar w:fldCharType="begin"/>
        </w:r>
        <w:r w:rsidR="00CB7716">
          <w:rPr>
            <w:noProof/>
            <w:webHidden/>
          </w:rPr>
          <w:instrText xml:space="preserve"> PAGEREF _Toc104808593 \h </w:instrText>
        </w:r>
        <w:r w:rsidR="00CB7716">
          <w:rPr>
            <w:noProof/>
            <w:webHidden/>
          </w:rPr>
        </w:r>
        <w:r w:rsidR="00CB7716">
          <w:rPr>
            <w:noProof/>
            <w:webHidden/>
          </w:rPr>
          <w:fldChar w:fldCharType="separate"/>
        </w:r>
        <w:r w:rsidR="00CB7716">
          <w:rPr>
            <w:noProof/>
            <w:webHidden/>
          </w:rPr>
          <w:t>3</w:t>
        </w:r>
        <w:r w:rsidR="00CB7716">
          <w:rPr>
            <w:noProof/>
            <w:webHidden/>
          </w:rPr>
          <w:fldChar w:fldCharType="end"/>
        </w:r>
      </w:hyperlink>
    </w:p>
    <w:p w14:paraId="7263A4B1" w14:textId="77777777" w:rsidR="00CB7716" w:rsidRDefault="00266CCA" w:rsidP="00CB7716">
      <w:pPr>
        <w:pStyle w:val="TOC1"/>
        <w:tabs>
          <w:tab w:val="right" w:leader="dot" w:pos="9016"/>
        </w:tabs>
        <w:rPr>
          <w:rFonts w:eastAsiaTheme="minorEastAsia"/>
          <w:b w:val="0"/>
          <w:bCs w:val="0"/>
          <w:caps w:val="0"/>
          <w:noProof/>
          <w:sz w:val="22"/>
          <w:szCs w:val="22"/>
          <w:lang w:eastAsia="en-GB"/>
        </w:rPr>
      </w:pPr>
      <w:hyperlink w:anchor="_Toc104808594" w:history="1">
        <w:r w:rsidR="00CB7716" w:rsidRPr="00C47040">
          <w:rPr>
            <w:rStyle w:val="Hyperlink"/>
            <w:noProof/>
          </w:rPr>
          <w:t>Abbreviations</w:t>
        </w:r>
        <w:r w:rsidR="00CB7716">
          <w:rPr>
            <w:noProof/>
            <w:webHidden/>
          </w:rPr>
          <w:tab/>
        </w:r>
        <w:r w:rsidR="00CB7716">
          <w:rPr>
            <w:noProof/>
            <w:webHidden/>
          </w:rPr>
          <w:fldChar w:fldCharType="begin"/>
        </w:r>
        <w:r w:rsidR="00CB7716">
          <w:rPr>
            <w:noProof/>
            <w:webHidden/>
          </w:rPr>
          <w:instrText xml:space="preserve"> PAGEREF _Toc104808594 \h </w:instrText>
        </w:r>
        <w:r w:rsidR="00CB7716">
          <w:rPr>
            <w:noProof/>
            <w:webHidden/>
          </w:rPr>
        </w:r>
        <w:r w:rsidR="00CB7716">
          <w:rPr>
            <w:noProof/>
            <w:webHidden/>
          </w:rPr>
          <w:fldChar w:fldCharType="separate"/>
        </w:r>
        <w:r w:rsidR="00CB7716">
          <w:rPr>
            <w:noProof/>
            <w:webHidden/>
          </w:rPr>
          <w:t>4</w:t>
        </w:r>
        <w:r w:rsidR="00CB7716">
          <w:rPr>
            <w:noProof/>
            <w:webHidden/>
          </w:rPr>
          <w:fldChar w:fldCharType="end"/>
        </w:r>
      </w:hyperlink>
    </w:p>
    <w:p w14:paraId="73B20AEA" w14:textId="77777777" w:rsidR="00CB7716" w:rsidRDefault="00266CCA" w:rsidP="00CB7716">
      <w:pPr>
        <w:pStyle w:val="TOC1"/>
        <w:tabs>
          <w:tab w:val="left" w:pos="440"/>
          <w:tab w:val="right" w:leader="dot" w:pos="9016"/>
        </w:tabs>
        <w:rPr>
          <w:rFonts w:eastAsiaTheme="minorEastAsia"/>
          <w:b w:val="0"/>
          <w:bCs w:val="0"/>
          <w:caps w:val="0"/>
          <w:noProof/>
          <w:sz w:val="22"/>
          <w:szCs w:val="22"/>
          <w:lang w:eastAsia="en-GB"/>
        </w:rPr>
      </w:pPr>
      <w:hyperlink w:anchor="_Toc104808595" w:history="1">
        <w:r w:rsidR="00CB7716" w:rsidRPr="00C47040">
          <w:rPr>
            <w:rStyle w:val="Hyperlink"/>
            <w:noProof/>
          </w:rPr>
          <w:t>1</w:t>
        </w:r>
        <w:r w:rsidR="00CB7716">
          <w:rPr>
            <w:rFonts w:eastAsiaTheme="minorEastAsia"/>
            <w:b w:val="0"/>
            <w:bCs w:val="0"/>
            <w:caps w:val="0"/>
            <w:noProof/>
            <w:sz w:val="22"/>
            <w:szCs w:val="22"/>
            <w:lang w:eastAsia="en-GB"/>
          </w:rPr>
          <w:tab/>
        </w:r>
        <w:r w:rsidR="00CB7716" w:rsidRPr="00C47040">
          <w:rPr>
            <w:rStyle w:val="Hyperlink"/>
            <w:noProof/>
          </w:rPr>
          <w:t>Introduction</w:t>
        </w:r>
        <w:r w:rsidR="00CB7716">
          <w:rPr>
            <w:noProof/>
            <w:webHidden/>
          </w:rPr>
          <w:tab/>
        </w:r>
        <w:r w:rsidR="00CB7716">
          <w:rPr>
            <w:noProof/>
            <w:webHidden/>
          </w:rPr>
          <w:fldChar w:fldCharType="begin"/>
        </w:r>
        <w:r w:rsidR="00CB7716">
          <w:rPr>
            <w:noProof/>
            <w:webHidden/>
          </w:rPr>
          <w:instrText xml:space="preserve"> PAGEREF _Toc104808595 \h </w:instrText>
        </w:r>
        <w:r w:rsidR="00CB7716">
          <w:rPr>
            <w:noProof/>
            <w:webHidden/>
          </w:rPr>
        </w:r>
        <w:r w:rsidR="00CB7716">
          <w:rPr>
            <w:noProof/>
            <w:webHidden/>
          </w:rPr>
          <w:fldChar w:fldCharType="separate"/>
        </w:r>
        <w:r w:rsidR="00CB7716">
          <w:rPr>
            <w:noProof/>
            <w:webHidden/>
          </w:rPr>
          <w:t>5</w:t>
        </w:r>
        <w:r w:rsidR="00CB7716">
          <w:rPr>
            <w:noProof/>
            <w:webHidden/>
          </w:rPr>
          <w:fldChar w:fldCharType="end"/>
        </w:r>
      </w:hyperlink>
    </w:p>
    <w:p w14:paraId="1059B383"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596" w:history="1">
        <w:r w:rsidR="00CB7716" w:rsidRPr="00C47040">
          <w:rPr>
            <w:rStyle w:val="Hyperlink"/>
            <w:noProof/>
          </w:rPr>
          <w:t>1.1</w:t>
        </w:r>
        <w:r w:rsidR="00CB7716">
          <w:rPr>
            <w:rFonts w:eastAsiaTheme="minorEastAsia"/>
            <w:smallCaps w:val="0"/>
            <w:noProof/>
            <w:sz w:val="22"/>
            <w:szCs w:val="22"/>
            <w:lang w:eastAsia="en-GB"/>
          </w:rPr>
          <w:tab/>
        </w:r>
        <w:r w:rsidR="00CB7716" w:rsidRPr="00C47040">
          <w:rPr>
            <w:rStyle w:val="Hyperlink"/>
            <w:noProof/>
          </w:rPr>
          <w:t>Background</w:t>
        </w:r>
        <w:r w:rsidR="00CB7716">
          <w:rPr>
            <w:noProof/>
            <w:webHidden/>
          </w:rPr>
          <w:tab/>
        </w:r>
        <w:r w:rsidR="00CB7716">
          <w:rPr>
            <w:noProof/>
            <w:webHidden/>
          </w:rPr>
          <w:fldChar w:fldCharType="begin"/>
        </w:r>
        <w:r w:rsidR="00CB7716">
          <w:rPr>
            <w:noProof/>
            <w:webHidden/>
          </w:rPr>
          <w:instrText xml:space="preserve"> PAGEREF _Toc104808596 \h </w:instrText>
        </w:r>
        <w:r w:rsidR="00CB7716">
          <w:rPr>
            <w:noProof/>
            <w:webHidden/>
          </w:rPr>
        </w:r>
        <w:r w:rsidR="00CB7716">
          <w:rPr>
            <w:noProof/>
            <w:webHidden/>
          </w:rPr>
          <w:fldChar w:fldCharType="separate"/>
        </w:r>
        <w:r w:rsidR="00CB7716">
          <w:rPr>
            <w:noProof/>
            <w:webHidden/>
          </w:rPr>
          <w:t>5</w:t>
        </w:r>
        <w:r w:rsidR="00CB7716">
          <w:rPr>
            <w:noProof/>
            <w:webHidden/>
          </w:rPr>
          <w:fldChar w:fldCharType="end"/>
        </w:r>
      </w:hyperlink>
    </w:p>
    <w:p w14:paraId="5C486FD8"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597" w:history="1">
        <w:r w:rsidR="00CB7716" w:rsidRPr="00C47040">
          <w:rPr>
            <w:rStyle w:val="Hyperlink"/>
            <w:noProof/>
          </w:rPr>
          <w:t>1.2</w:t>
        </w:r>
        <w:r w:rsidR="00CB7716">
          <w:rPr>
            <w:rFonts w:eastAsiaTheme="minorEastAsia"/>
            <w:smallCaps w:val="0"/>
            <w:noProof/>
            <w:sz w:val="22"/>
            <w:szCs w:val="22"/>
            <w:lang w:eastAsia="en-GB"/>
          </w:rPr>
          <w:tab/>
        </w:r>
        <w:r w:rsidR="00CB7716" w:rsidRPr="00C47040">
          <w:rPr>
            <w:rStyle w:val="Hyperlink"/>
            <w:noProof/>
          </w:rPr>
          <w:t>Scope</w:t>
        </w:r>
        <w:r w:rsidR="00CB7716">
          <w:rPr>
            <w:noProof/>
            <w:webHidden/>
          </w:rPr>
          <w:tab/>
        </w:r>
        <w:r w:rsidR="00CB7716">
          <w:rPr>
            <w:noProof/>
            <w:webHidden/>
          </w:rPr>
          <w:fldChar w:fldCharType="begin"/>
        </w:r>
        <w:r w:rsidR="00CB7716">
          <w:rPr>
            <w:noProof/>
            <w:webHidden/>
          </w:rPr>
          <w:instrText xml:space="preserve"> PAGEREF _Toc104808597 \h </w:instrText>
        </w:r>
        <w:r w:rsidR="00CB7716">
          <w:rPr>
            <w:noProof/>
            <w:webHidden/>
          </w:rPr>
        </w:r>
        <w:r w:rsidR="00CB7716">
          <w:rPr>
            <w:noProof/>
            <w:webHidden/>
          </w:rPr>
          <w:fldChar w:fldCharType="separate"/>
        </w:r>
        <w:r w:rsidR="00CB7716">
          <w:rPr>
            <w:noProof/>
            <w:webHidden/>
          </w:rPr>
          <w:t>6</w:t>
        </w:r>
        <w:r w:rsidR="00CB7716">
          <w:rPr>
            <w:noProof/>
            <w:webHidden/>
          </w:rPr>
          <w:fldChar w:fldCharType="end"/>
        </w:r>
      </w:hyperlink>
    </w:p>
    <w:p w14:paraId="61F7A7B4"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598" w:history="1">
        <w:r w:rsidR="00CB7716" w:rsidRPr="00C47040">
          <w:rPr>
            <w:rStyle w:val="Hyperlink"/>
            <w:noProof/>
          </w:rPr>
          <w:t>1.3</w:t>
        </w:r>
        <w:r w:rsidR="00CB7716">
          <w:rPr>
            <w:rFonts w:eastAsiaTheme="minorEastAsia"/>
            <w:smallCaps w:val="0"/>
            <w:noProof/>
            <w:sz w:val="22"/>
            <w:szCs w:val="22"/>
            <w:lang w:eastAsia="en-GB"/>
          </w:rPr>
          <w:tab/>
        </w:r>
        <w:r w:rsidR="00CB7716" w:rsidRPr="00C47040">
          <w:rPr>
            <w:rStyle w:val="Hyperlink"/>
            <w:noProof/>
          </w:rPr>
          <w:t>Current status of food safety management</w:t>
        </w:r>
        <w:r w:rsidR="00CB7716">
          <w:rPr>
            <w:noProof/>
            <w:webHidden/>
          </w:rPr>
          <w:tab/>
        </w:r>
        <w:r w:rsidR="00CB7716">
          <w:rPr>
            <w:noProof/>
            <w:webHidden/>
          </w:rPr>
          <w:fldChar w:fldCharType="begin"/>
        </w:r>
        <w:r w:rsidR="00CB7716">
          <w:rPr>
            <w:noProof/>
            <w:webHidden/>
          </w:rPr>
          <w:instrText xml:space="preserve"> PAGEREF _Toc104808598 \h </w:instrText>
        </w:r>
        <w:r w:rsidR="00CB7716">
          <w:rPr>
            <w:noProof/>
            <w:webHidden/>
          </w:rPr>
        </w:r>
        <w:r w:rsidR="00CB7716">
          <w:rPr>
            <w:noProof/>
            <w:webHidden/>
          </w:rPr>
          <w:fldChar w:fldCharType="separate"/>
        </w:r>
        <w:r w:rsidR="00CB7716">
          <w:rPr>
            <w:noProof/>
            <w:webHidden/>
          </w:rPr>
          <w:t>8</w:t>
        </w:r>
        <w:r w:rsidR="00CB7716">
          <w:rPr>
            <w:noProof/>
            <w:webHidden/>
          </w:rPr>
          <w:fldChar w:fldCharType="end"/>
        </w:r>
      </w:hyperlink>
    </w:p>
    <w:p w14:paraId="74E9965B" w14:textId="77777777" w:rsidR="00CB7716" w:rsidRDefault="00266CCA" w:rsidP="00CB7716">
      <w:pPr>
        <w:pStyle w:val="TOC1"/>
        <w:tabs>
          <w:tab w:val="left" w:pos="440"/>
          <w:tab w:val="right" w:leader="dot" w:pos="9016"/>
        </w:tabs>
        <w:rPr>
          <w:rFonts w:eastAsiaTheme="minorEastAsia"/>
          <w:b w:val="0"/>
          <w:bCs w:val="0"/>
          <w:caps w:val="0"/>
          <w:noProof/>
          <w:sz w:val="22"/>
          <w:szCs w:val="22"/>
          <w:lang w:eastAsia="en-GB"/>
        </w:rPr>
      </w:pPr>
      <w:hyperlink w:anchor="_Toc104808599" w:history="1">
        <w:r w:rsidR="00CB7716" w:rsidRPr="00C47040">
          <w:rPr>
            <w:rStyle w:val="Hyperlink"/>
            <w:noProof/>
          </w:rPr>
          <w:t>2</w:t>
        </w:r>
        <w:r w:rsidR="00CB7716">
          <w:rPr>
            <w:rFonts w:eastAsiaTheme="minorEastAsia"/>
            <w:b w:val="0"/>
            <w:bCs w:val="0"/>
            <w:caps w:val="0"/>
            <w:noProof/>
            <w:sz w:val="22"/>
            <w:szCs w:val="22"/>
            <w:lang w:eastAsia="en-GB"/>
          </w:rPr>
          <w:tab/>
        </w:r>
        <w:r w:rsidR="00CB7716" w:rsidRPr="00C47040">
          <w:rPr>
            <w:rStyle w:val="Hyperlink"/>
            <w:noProof/>
          </w:rPr>
          <w:t>What is the problem and why is government action needed?</w:t>
        </w:r>
        <w:r w:rsidR="00CB7716">
          <w:rPr>
            <w:noProof/>
            <w:webHidden/>
          </w:rPr>
          <w:tab/>
        </w:r>
        <w:r w:rsidR="00CB7716">
          <w:rPr>
            <w:noProof/>
            <w:webHidden/>
          </w:rPr>
          <w:fldChar w:fldCharType="begin"/>
        </w:r>
        <w:r w:rsidR="00CB7716">
          <w:rPr>
            <w:noProof/>
            <w:webHidden/>
          </w:rPr>
          <w:instrText xml:space="preserve"> PAGEREF _Toc104808599 \h </w:instrText>
        </w:r>
        <w:r w:rsidR="00CB7716">
          <w:rPr>
            <w:noProof/>
            <w:webHidden/>
          </w:rPr>
        </w:r>
        <w:r w:rsidR="00CB7716">
          <w:rPr>
            <w:noProof/>
            <w:webHidden/>
          </w:rPr>
          <w:fldChar w:fldCharType="separate"/>
        </w:r>
        <w:r w:rsidR="00CB7716">
          <w:rPr>
            <w:noProof/>
            <w:webHidden/>
          </w:rPr>
          <w:t>10</w:t>
        </w:r>
        <w:r w:rsidR="00CB7716">
          <w:rPr>
            <w:noProof/>
            <w:webHidden/>
          </w:rPr>
          <w:fldChar w:fldCharType="end"/>
        </w:r>
      </w:hyperlink>
    </w:p>
    <w:p w14:paraId="403A0576" w14:textId="77777777" w:rsidR="00CB7716" w:rsidRDefault="00266CCA" w:rsidP="00CB7716">
      <w:pPr>
        <w:pStyle w:val="TOC1"/>
        <w:tabs>
          <w:tab w:val="left" w:pos="440"/>
          <w:tab w:val="right" w:leader="dot" w:pos="9016"/>
        </w:tabs>
        <w:rPr>
          <w:rFonts w:eastAsiaTheme="minorEastAsia"/>
          <w:b w:val="0"/>
          <w:bCs w:val="0"/>
          <w:caps w:val="0"/>
          <w:noProof/>
          <w:sz w:val="22"/>
          <w:szCs w:val="22"/>
          <w:lang w:eastAsia="en-GB"/>
        </w:rPr>
      </w:pPr>
      <w:hyperlink w:anchor="_Toc104808600" w:history="1">
        <w:r w:rsidR="00CB7716" w:rsidRPr="00C47040">
          <w:rPr>
            <w:rStyle w:val="Hyperlink"/>
            <w:noProof/>
          </w:rPr>
          <w:t>3</w:t>
        </w:r>
        <w:r w:rsidR="00CB7716">
          <w:rPr>
            <w:rFonts w:eastAsiaTheme="minorEastAsia"/>
            <w:b w:val="0"/>
            <w:bCs w:val="0"/>
            <w:caps w:val="0"/>
            <w:noProof/>
            <w:sz w:val="22"/>
            <w:szCs w:val="22"/>
            <w:lang w:eastAsia="en-GB"/>
          </w:rPr>
          <w:tab/>
        </w:r>
        <w:r w:rsidR="00CB7716" w:rsidRPr="00C47040">
          <w:rPr>
            <w:rStyle w:val="Hyperlink"/>
            <w:noProof/>
          </w:rPr>
          <w:t>What policy options are being considered?</w:t>
        </w:r>
        <w:r w:rsidR="00CB7716">
          <w:rPr>
            <w:noProof/>
            <w:webHidden/>
          </w:rPr>
          <w:tab/>
        </w:r>
        <w:r w:rsidR="00CB7716">
          <w:rPr>
            <w:noProof/>
            <w:webHidden/>
          </w:rPr>
          <w:fldChar w:fldCharType="begin"/>
        </w:r>
        <w:r w:rsidR="00CB7716">
          <w:rPr>
            <w:noProof/>
            <w:webHidden/>
          </w:rPr>
          <w:instrText xml:space="preserve"> PAGEREF _Toc104808600 \h </w:instrText>
        </w:r>
        <w:r w:rsidR="00CB7716">
          <w:rPr>
            <w:noProof/>
            <w:webHidden/>
          </w:rPr>
        </w:r>
        <w:r w:rsidR="00CB7716">
          <w:rPr>
            <w:noProof/>
            <w:webHidden/>
          </w:rPr>
          <w:fldChar w:fldCharType="separate"/>
        </w:r>
        <w:r w:rsidR="00CB7716">
          <w:rPr>
            <w:noProof/>
            <w:webHidden/>
          </w:rPr>
          <w:t>12</w:t>
        </w:r>
        <w:r w:rsidR="00CB7716">
          <w:rPr>
            <w:noProof/>
            <w:webHidden/>
          </w:rPr>
          <w:fldChar w:fldCharType="end"/>
        </w:r>
      </w:hyperlink>
    </w:p>
    <w:p w14:paraId="0CF068FF"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01" w:history="1">
        <w:r w:rsidR="00CB7716" w:rsidRPr="00C47040">
          <w:rPr>
            <w:rStyle w:val="Hyperlink"/>
            <w:noProof/>
          </w:rPr>
          <w:t>3.1</w:t>
        </w:r>
        <w:r w:rsidR="00CB7716">
          <w:rPr>
            <w:rFonts w:eastAsiaTheme="minorEastAsia"/>
            <w:smallCaps w:val="0"/>
            <w:noProof/>
            <w:sz w:val="22"/>
            <w:szCs w:val="22"/>
            <w:lang w:eastAsia="en-GB"/>
          </w:rPr>
          <w:tab/>
        </w:r>
        <w:r w:rsidR="00CB7716" w:rsidRPr="00C47040">
          <w:rPr>
            <w:rStyle w:val="Hyperlink"/>
            <w:noProof/>
          </w:rPr>
          <w:t>Option 1 – Maintain the status quo</w:t>
        </w:r>
        <w:r w:rsidR="00CB7716">
          <w:rPr>
            <w:noProof/>
            <w:webHidden/>
          </w:rPr>
          <w:tab/>
        </w:r>
        <w:r w:rsidR="00CB7716">
          <w:rPr>
            <w:noProof/>
            <w:webHidden/>
          </w:rPr>
          <w:fldChar w:fldCharType="begin"/>
        </w:r>
        <w:r w:rsidR="00CB7716">
          <w:rPr>
            <w:noProof/>
            <w:webHidden/>
          </w:rPr>
          <w:instrText xml:space="preserve"> PAGEREF _Toc104808601 \h </w:instrText>
        </w:r>
        <w:r w:rsidR="00CB7716">
          <w:rPr>
            <w:noProof/>
            <w:webHidden/>
          </w:rPr>
        </w:r>
        <w:r w:rsidR="00CB7716">
          <w:rPr>
            <w:noProof/>
            <w:webHidden/>
          </w:rPr>
          <w:fldChar w:fldCharType="separate"/>
        </w:r>
        <w:r w:rsidR="00CB7716">
          <w:rPr>
            <w:noProof/>
            <w:webHidden/>
          </w:rPr>
          <w:t>12</w:t>
        </w:r>
        <w:r w:rsidR="00CB7716">
          <w:rPr>
            <w:noProof/>
            <w:webHidden/>
          </w:rPr>
          <w:fldChar w:fldCharType="end"/>
        </w:r>
      </w:hyperlink>
    </w:p>
    <w:p w14:paraId="7DF8AC0A"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02" w:history="1">
        <w:r w:rsidR="00CB7716" w:rsidRPr="00C47040">
          <w:rPr>
            <w:rStyle w:val="Hyperlink"/>
            <w:noProof/>
          </w:rPr>
          <w:t>3.2</w:t>
        </w:r>
        <w:r w:rsidR="00CB7716">
          <w:rPr>
            <w:rFonts w:eastAsiaTheme="minorEastAsia"/>
            <w:smallCaps w:val="0"/>
            <w:noProof/>
            <w:sz w:val="22"/>
            <w:szCs w:val="22"/>
            <w:lang w:eastAsia="en-GB"/>
          </w:rPr>
          <w:tab/>
        </w:r>
        <w:r w:rsidR="00CB7716" w:rsidRPr="00C47040">
          <w:rPr>
            <w:rStyle w:val="Hyperlink"/>
            <w:noProof/>
          </w:rPr>
          <w:t>Option 2 – Self-regulation</w:t>
        </w:r>
        <w:r w:rsidR="00CB7716">
          <w:rPr>
            <w:noProof/>
            <w:webHidden/>
          </w:rPr>
          <w:tab/>
        </w:r>
        <w:r w:rsidR="00CB7716">
          <w:rPr>
            <w:noProof/>
            <w:webHidden/>
          </w:rPr>
          <w:fldChar w:fldCharType="begin"/>
        </w:r>
        <w:r w:rsidR="00CB7716">
          <w:rPr>
            <w:noProof/>
            <w:webHidden/>
          </w:rPr>
          <w:instrText xml:space="preserve"> PAGEREF _Toc104808602 \h </w:instrText>
        </w:r>
        <w:r w:rsidR="00CB7716">
          <w:rPr>
            <w:noProof/>
            <w:webHidden/>
          </w:rPr>
        </w:r>
        <w:r w:rsidR="00CB7716">
          <w:rPr>
            <w:noProof/>
            <w:webHidden/>
          </w:rPr>
          <w:fldChar w:fldCharType="separate"/>
        </w:r>
        <w:r w:rsidR="00CB7716">
          <w:rPr>
            <w:noProof/>
            <w:webHidden/>
          </w:rPr>
          <w:t>12</w:t>
        </w:r>
        <w:r w:rsidR="00CB7716">
          <w:rPr>
            <w:noProof/>
            <w:webHidden/>
          </w:rPr>
          <w:fldChar w:fldCharType="end"/>
        </w:r>
      </w:hyperlink>
    </w:p>
    <w:p w14:paraId="47ECFEAF"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03" w:history="1">
        <w:r w:rsidR="00CB7716" w:rsidRPr="00C47040">
          <w:rPr>
            <w:rStyle w:val="Hyperlink"/>
            <w:noProof/>
          </w:rPr>
          <w:t>3.3</w:t>
        </w:r>
        <w:r w:rsidR="00CB7716">
          <w:rPr>
            <w:rFonts w:eastAsiaTheme="minorEastAsia"/>
            <w:smallCaps w:val="0"/>
            <w:noProof/>
            <w:sz w:val="22"/>
            <w:szCs w:val="22"/>
            <w:lang w:eastAsia="en-GB"/>
          </w:rPr>
          <w:tab/>
        </w:r>
        <w:r w:rsidR="00CB7716" w:rsidRPr="00C47040">
          <w:rPr>
            <w:rStyle w:val="Hyperlink"/>
            <w:noProof/>
          </w:rPr>
          <w:t>Option 3 – Regulated food safety management tools</w:t>
        </w:r>
        <w:r w:rsidR="00CB7716">
          <w:rPr>
            <w:noProof/>
            <w:webHidden/>
          </w:rPr>
          <w:tab/>
        </w:r>
        <w:r w:rsidR="00CB7716">
          <w:rPr>
            <w:noProof/>
            <w:webHidden/>
          </w:rPr>
          <w:fldChar w:fldCharType="begin"/>
        </w:r>
        <w:r w:rsidR="00CB7716">
          <w:rPr>
            <w:noProof/>
            <w:webHidden/>
          </w:rPr>
          <w:instrText xml:space="preserve"> PAGEREF _Toc104808603 \h </w:instrText>
        </w:r>
        <w:r w:rsidR="00CB7716">
          <w:rPr>
            <w:noProof/>
            <w:webHidden/>
          </w:rPr>
        </w:r>
        <w:r w:rsidR="00CB7716">
          <w:rPr>
            <w:noProof/>
            <w:webHidden/>
          </w:rPr>
          <w:fldChar w:fldCharType="separate"/>
        </w:r>
        <w:r w:rsidR="00CB7716">
          <w:rPr>
            <w:noProof/>
            <w:webHidden/>
          </w:rPr>
          <w:t>13</w:t>
        </w:r>
        <w:r w:rsidR="00CB7716">
          <w:rPr>
            <w:noProof/>
            <w:webHidden/>
          </w:rPr>
          <w:fldChar w:fldCharType="end"/>
        </w:r>
      </w:hyperlink>
    </w:p>
    <w:p w14:paraId="69F34D93" w14:textId="77777777" w:rsidR="00CB7716" w:rsidRDefault="00266CCA" w:rsidP="00CB7716">
      <w:pPr>
        <w:pStyle w:val="TOC1"/>
        <w:tabs>
          <w:tab w:val="left" w:pos="440"/>
          <w:tab w:val="right" w:leader="dot" w:pos="9016"/>
        </w:tabs>
        <w:rPr>
          <w:rFonts w:eastAsiaTheme="minorEastAsia"/>
          <w:b w:val="0"/>
          <w:bCs w:val="0"/>
          <w:caps w:val="0"/>
          <w:noProof/>
          <w:sz w:val="22"/>
          <w:szCs w:val="22"/>
          <w:lang w:eastAsia="en-GB"/>
        </w:rPr>
      </w:pPr>
      <w:hyperlink w:anchor="_Toc104808604" w:history="1">
        <w:r w:rsidR="00CB7716" w:rsidRPr="00C47040">
          <w:rPr>
            <w:rStyle w:val="Hyperlink"/>
            <w:noProof/>
          </w:rPr>
          <w:t>4</w:t>
        </w:r>
        <w:r w:rsidR="00CB7716">
          <w:rPr>
            <w:rFonts w:eastAsiaTheme="minorEastAsia"/>
            <w:b w:val="0"/>
            <w:bCs w:val="0"/>
            <w:caps w:val="0"/>
            <w:noProof/>
            <w:sz w:val="22"/>
            <w:szCs w:val="22"/>
            <w:lang w:eastAsia="en-GB"/>
          </w:rPr>
          <w:tab/>
        </w:r>
        <w:r w:rsidR="00CB7716" w:rsidRPr="00C47040">
          <w:rPr>
            <w:rStyle w:val="Hyperlink"/>
            <w:noProof/>
          </w:rPr>
          <w:t>What are the likely net benefits of each option?</w:t>
        </w:r>
        <w:r w:rsidR="00CB7716">
          <w:rPr>
            <w:noProof/>
            <w:webHidden/>
          </w:rPr>
          <w:tab/>
        </w:r>
        <w:r w:rsidR="00CB7716">
          <w:rPr>
            <w:noProof/>
            <w:webHidden/>
          </w:rPr>
          <w:fldChar w:fldCharType="begin"/>
        </w:r>
        <w:r w:rsidR="00CB7716">
          <w:rPr>
            <w:noProof/>
            <w:webHidden/>
          </w:rPr>
          <w:instrText xml:space="preserve"> PAGEREF _Toc104808604 \h </w:instrText>
        </w:r>
        <w:r w:rsidR="00CB7716">
          <w:rPr>
            <w:noProof/>
            <w:webHidden/>
          </w:rPr>
        </w:r>
        <w:r w:rsidR="00CB7716">
          <w:rPr>
            <w:noProof/>
            <w:webHidden/>
          </w:rPr>
          <w:fldChar w:fldCharType="separate"/>
        </w:r>
        <w:r w:rsidR="00CB7716">
          <w:rPr>
            <w:noProof/>
            <w:webHidden/>
          </w:rPr>
          <w:t>13</w:t>
        </w:r>
        <w:r w:rsidR="00CB7716">
          <w:rPr>
            <w:noProof/>
            <w:webHidden/>
          </w:rPr>
          <w:fldChar w:fldCharType="end"/>
        </w:r>
      </w:hyperlink>
    </w:p>
    <w:p w14:paraId="35F3DD9D"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05" w:history="1">
        <w:r w:rsidR="00CB7716" w:rsidRPr="00C47040">
          <w:rPr>
            <w:rStyle w:val="Hyperlink"/>
            <w:noProof/>
          </w:rPr>
          <w:t>4.1</w:t>
        </w:r>
        <w:r w:rsidR="00CB7716">
          <w:rPr>
            <w:rFonts w:eastAsiaTheme="minorEastAsia"/>
            <w:smallCaps w:val="0"/>
            <w:noProof/>
            <w:sz w:val="22"/>
            <w:szCs w:val="22"/>
            <w:lang w:eastAsia="en-GB"/>
          </w:rPr>
          <w:tab/>
        </w:r>
        <w:r w:rsidR="00CB7716" w:rsidRPr="00C47040">
          <w:rPr>
            <w:rStyle w:val="Hyperlink"/>
            <w:noProof/>
          </w:rPr>
          <w:t>Introduction</w:t>
        </w:r>
        <w:r w:rsidR="00CB7716">
          <w:rPr>
            <w:noProof/>
            <w:webHidden/>
          </w:rPr>
          <w:tab/>
        </w:r>
        <w:r w:rsidR="00CB7716">
          <w:rPr>
            <w:noProof/>
            <w:webHidden/>
          </w:rPr>
          <w:fldChar w:fldCharType="begin"/>
        </w:r>
        <w:r w:rsidR="00CB7716">
          <w:rPr>
            <w:noProof/>
            <w:webHidden/>
          </w:rPr>
          <w:instrText xml:space="preserve"> PAGEREF _Toc104808605 \h </w:instrText>
        </w:r>
        <w:r w:rsidR="00CB7716">
          <w:rPr>
            <w:noProof/>
            <w:webHidden/>
          </w:rPr>
        </w:r>
        <w:r w:rsidR="00CB7716">
          <w:rPr>
            <w:noProof/>
            <w:webHidden/>
          </w:rPr>
          <w:fldChar w:fldCharType="separate"/>
        </w:r>
        <w:r w:rsidR="00CB7716">
          <w:rPr>
            <w:noProof/>
            <w:webHidden/>
          </w:rPr>
          <w:t>13</w:t>
        </w:r>
        <w:r w:rsidR="00CB7716">
          <w:rPr>
            <w:noProof/>
            <w:webHidden/>
          </w:rPr>
          <w:fldChar w:fldCharType="end"/>
        </w:r>
      </w:hyperlink>
    </w:p>
    <w:p w14:paraId="6789A860"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06" w:history="1">
        <w:r w:rsidR="00CB7716" w:rsidRPr="00C47040">
          <w:rPr>
            <w:rStyle w:val="Hyperlink"/>
            <w:noProof/>
          </w:rPr>
          <w:t>4.2</w:t>
        </w:r>
        <w:r w:rsidR="00CB7716">
          <w:rPr>
            <w:rFonts w:eastAsiaTheme="minorEastAsia"/>
            <w:smallCaps w:val="0"/>
            <w:noProof/>
            <w:sz w:val="22"/>
            <w:szCs w:val="22"/>
            <w:lang w:eastAsia="en-GB"/>
          </w:rPr>
          <w:tab/>
        </w:r>
        <w:r w:rsidR="00CB7716" w:rsidRPr="00C47040">
          <w:rPr>
            <w:rStyle w:val="Hyperlink"/>
            <w:noProof/>
          </w:rPr>
          <w:t>Option 1 – Maintain the status quo (abandon the proposal)</w:t>
        </w:r>
        <w:r w:rsidR="00CB7716">
          <w:rPr>
            <w:noProof/>
            <w:webHidden/>
          </w:rPr>
          <w:tab/>
        </w:r>
        <w:r w:rsidR="00CB7716">
          <w:rPr>
            <w:noProof/>
            <w:webHidden/>
          </w:rPr>
          <w:fldChar w:fldCharType="begin"/>
        </w:r>
        <w:r w:rsidR="00CB7716">
          <w:rPr>
            <w:noProof/>
            <w:webHidden/>
          </w:rPr>
          <w:instrText xml:space="preserve"> PAGEREF _Toc104808606 \h </w:instrText>
        </w:r>
        <w:r w:rsidR="00CB7716">
          <w:rPr>
            <w:noProof/>
            <w:webHidden/>
          </w:rPr>
        </w:r>
        <w:r w:rsidR="00CB7716">
          <w:rPr>
            <w:noProof/>
            <w:webHidden/>
          </w:rPr>
          <w:fldChar w:fldCharType="separate"/>
        </w:r>
        <w:r w:rsidR="00CB7716">
          <w:rPr>
            <w:noProof/>
            <w:webHidden/>
          </w:rPr>
          <w:t>13</w:t>
        </w:r>
        <w:r w:rsidR="00CB7716">
          <w:rPr>
            <w:noProof/>
            <w:webHidden/>
          </w:rPr>
          <w:fldChar w:fldCharType="end"/>
        </w:r>
      </w:hyperlink>
    </w:p>
    <w:p w14:paraId="270D4AA3"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07" w:history="1">
        <w:r w:rsidR="00CB7716" w:rsidRPr="00C47040">
          <w:rPr>
            <w:rStyle w:val="Hyperlink"/>
            <w:noProof/>
          </w:rPr>
          <w:t>4.3</w:t>
        </w:r>
        <w:r w:rsidR="00CB7716">
          <w:rPr>
            <w:rFonts w:eastAsiaTheme="minorEastAsia"/>
            <w:smallCaps w:val="0"/>
            <w:noProof/>
            <w:sz w:val="22"/>
            <w:szCs w:val="22"/>
            <w:lang w:eastAsia="en-GB"/>
          </w:rPr>
          <w:tab/>
        </w:r>
        <w:r w:rsidR="00CB7716" w:rsidRPr="00C47040">
          <w:rPr>
            <w:rStyle w:val="Hyperlink"/>
            <w:noProof/>
          </w:rPr>
          <w:t>Option 2 – Self-regulation</w:t>
        </w:r>
        <w:r w:rsidR="00CB7716">
          <w:rPr>
            <w:noProof/>
            <w:webHidden/>
          </w:rPr>
          <w:tab/>
        </w:r>
        <w:r w:rsidR="00CB7716">
          <w:rPr>
            <w:noProof/>
            <w:webHidden/>
          </w:rPr>
          <w:fldChar w:fldCharType="begin"/>
        </w:r>
        <w:r w:rsidR="00CB7716">
          <w:rPr>
            <w:noProof/>
            <w:webHidden/>
          </w:rPr>
          <w:instrText xml:space="preserve"> PAGEREF _Toc104808607 \h </w:instrText>
        </w:r>
        <w:r w:rsidR="00CB7716">
          <w:rPr>
            <w:noProof/>
            <w:webHidden/>
          </w:rPr>
        </w:r>
        <w:r w:rsidR="00CB7716">
          <w:rPr>
            <w:noProof/>
            <w:webHidden/>
          </w:rPr>
          <w:fldChar w:fldCharType="separate"/>
        </w:r>
        <w:r w:rsidR="00CB7716">
          <w:rPr>
            <w:noProof/>
            <w:webHidden/>
          </w:rPr>
          <w:t>15</w:t>
        </w:r>
        <w:r w:rsidR="00CB7716">
          <w:rPr>
            <w:noProof/>
            <w:webHidden/>
          </w:rPr>
          <w:fldChar w:fldCharType="end"/>
        </w:r>
      </w:hyperlink>
    </w:p>
    <w:p w14:paraId="43F507F0"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08" w:history="1">
        <w:r w:rsidR="00CB7716" w:rsidRPr="00C47040">
          <w:rPr>
            <w:rStyle w:val="Hyperlink"/>
            <w:noProof/>
          </w:rPr>
          <w:t>4.4</w:t>
        </w:r>
        <w:r w:rsidR="00CB7716">
          <w:rPr>
            <w:rFonts w:eastAsiaTheme="minorEastAsia"/>
            <w:smallCaps w:val="0"/>
            <w:noProof/>
            <w:sz w:val="22"/>
            <w:szCs w:val="22"/>
            <w:lang w:eastAsia="en-GB"/>
          </w:rPr>
          <w:tab/>
        </w:r>
        <w:r w:rsidR="00CB7716" w:rsidRPr="00C47040">
          <w:rPr>
            <w:rStyle w:val="Hyperlink"/>
            <w:noProof/>
          </w:rPr>
          <w:t>Option 3 – Regulated food safety management tools</w:t>
        </w:r>
        <w:r w:rsidR="00CB7716">
          <w:rPr>
            <w:noProof/>
            <w:webHidden/>
          </w:rPr>
          <w:tab/>
        </w:r>
        <w:r w:rsidR="00CB7716">
          <w:rPr>
            <w:noProof/>
            <w:webHidden/>
          </w:rPr>
          <w:fldChar w:fldCharType="begin"/>
        </w:r>
        <w:r w:rsidR="00CB7716">
          <w:rPr>
            <w:noProof/>
            <w:webHidden/>
          </w:rPr>
          <w:instrText xml:space="preserve"> PAGEREF _Toc104808608 \h </w:instrText>
        </w:r>
        <w:r w:rsidR="00CB7716">
          <w:rPr>
            <w:noProof/>
            <w:webHidden/>
          </w:rPr>
        </w:r>
        <w:r w:rsidR="00CB7716">
          <w:rPr>
            <w:noProof/>
            <w:webHidden/>
          </w:rPr>
          <w:fldChar w:fldCharType="separate"/>
        </w:r>
        <w:r w:rsidR="00CB7716">
          <w:rPr>
            <w:noProof/>
            <w:webHidden/>
          </w:rPr>
          <w:t>17</w:t>
        </w:r>
        <w:r w:rsidR="00CB7716">
          <w:rPr>
            <w:noProof/>
            <w:webHidden/>
          </w:rPr>
          <w:fldChar w:fldCharType="end"/>
        </w:r>
      </w:hyperlink>
    </w:p>
    <w:p w14:paraId="2A3E48EC"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09" w:history="1">
        <w:r w:rsidR="00CB7716" w:rsidRPr="00C47040">
          <w:rPr>
            <w:rStyle w:val="Hyperlink"/>
            <w:noProof/>
          </w:rPr>
          <w:t>4.5</w:t>
        </w:r>
        <w:r w:rsidR="00CB7716">
          <w:rPr>
            <w:rFonts w:eastAsiaTheme="minorEastAsia"/>
            <w:smallCaps w:val="0"/>
            <w:noProof/>
            <w:sz w:val="22"/>
            <w:szCs w:val="22"/>
            <w:lang w:eastAsia="en-GB"/>
          </w:rPr>
          <w:tab/>
        </w:r>
        <w:r w:rsidR="00CB7716" w:rsidRPr="00C47040">
          <w:rPr>
            <w:rStyle w:val="Hyperlink"/>
            <w:noProof/>
          </w:rPr>
          <w:t>Cost and benefits</w:t>
        </w:r>
        <w:r w:rsidR="00CB7716">
          <w:rPr>
            <w:noProof/>
            <w:webHidden/>
          </w:rPr>
          <w:tab/>
        </w:r>
        <w:r w:rsidR="00CB7716">
          <w:rPr>
            <w:noProof/>
            <w:webHidden/>
          </w:rPr>
          <w:fldChar w:fldCharType="begin"/>
        </w:r>
        <w:r w:rsidR="00CB7716">
          <w:rPr>
            <w:noProof/>
            <w:webHidden/>
          </w:rPr>
          <w:instrText xml:space="preserve"> PAGEREF _Toc104808609 \h </w:instrText>
        </w:r>
        <w:r w:rsidR="00CB7716">
          <w:rPr>
            <w:noProof/>
            <w:webHidden/>
          </w:rPr>
        </w:r>
        <w:r w:rsidR="00CB7716">
          <w:rPr>
            <w:noProof/>
            <w:webHidden/>
          </w:rPr>
          <w:fldChar w:fldCharType="separate"/>
        </w:r>
        <w:r w:rsidR="00CB7716">
          <w:rPr>
            <w:noProof/>
            <w:webHidden/>
          </w:rPr>
          <w:t>27</w:t>
        </w:r>
        <w:r w:rsidR="00CB7716">
          <w:rPr>
            <w:noProof/>
            <w:webHidden/>
          </w:rPr>
          <w:fldChar w:fldCharType="end"/>
        </w:r>
      </w:hyperlink>
    </w:p>
    <w:p w14:paraId="32804B32"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10" w:history="1">
        <w:r w:rsidR="00CB7716" w:rsidRPr="00C47040">
          <w:rPr>
            <w:rStyle w:val="Hyperlink"/>
            <w:noProof/>
          </w:rPr>
          <w:t>4.6</w:t>
        </w:r>
        <w:r w:rsidR="00CB7716">
          <w:rPr>
            <w:rFonts w:eastAsiaTheme="minorEastAsia"/>
            <w:smallCaps w:val="0"/>
            <w:noProof/>
            <w:sz w:val="22"/>
            <w:szCs w:val="22"/>
            <w:lang w:eastAsia="en-GB"/>
          </w:rPr>
          <w:tab/>
        </w:r>
        <w:r w:rsidR="00CB7716" w:rsidRPr="00C47040">
          <w:rPr>
            <w:rStyle w:val="Hyperlink"/>
            <w:noProof/>
          </w:rPr>
          <w:t>Comparison of options and conclusion</w:t>
        </w:r>
        <w:r w:rsidR="00CB7716">
          <w:rPr>
            <w:noProof/>
            <w:webHidden/>
          </w:rPr>
          <w:tab/>
        </w:r>
        <w:r w:rsidR="00CB7716">
          <w:rPr>
            <w:noProof/>
            <w:webHidden/>
          </w:rPr>
          <w:fldChar w:fldCharType="begin"/>
        </w:r>
        <w:r w:rsidR="00CB7716">
          <w:rPr>
            <w:noProof/>
            <w:webHidden/>
          </w:rPr>
          <w:instrText xml:space="preserve"> PAGEREF _Toc104808610 \h </w:instrText>
        </w:r>
        <w:r w:rsidR="00CB7716">
          <w:rPr>
            <w:noProof/>
            <w:webHidden/>
          </w:rPr>
        </w:r>
        <w:r w:rsidR="00CB7716">
          <w:rPr>
            <w:noProof/>
            <w:webHidden/>
          </w:rPr>
          <w:fldChar w:fldCharType="separate"/>
        </w:r>
        <w:r w:rsidR="00CB7716">
          <w:rPr>
            <w:noProof/>
            <w:webHidden/>
          </w:rPr>
          <w:t>30</w:t>
        </w:r>
        <w:r w:rsidR="00CB7716">
          <w:rPr>
            <w:noProof/>
            <w:webHidden/>
          </w:rPr>
          <w:fldChar w:fldCharType="end"/>
        </w:r>
      </w:hyperlink>
    </w:p>
    <w:p w14:paraId="7ED17F3F" w14:textId="77777777" w:rsidR="00CB7716" w:rsidRDefault="00266CCA" w:rsidP="00CB7716">
      <w:pPr>
        <w:pStyle w:val="TOC1"/>
        <w:tabs>
          <w:tab w:val="left" w:pos="440"/>
          <w:tab w:val="right" w:leader="dot" w:pos="9016"/>
        </w:tabs>
        <w:rPr>
          <w:rFonts w:eastAsiaTheme="minorEastAsia"/>
          <w:b w:val="0"/>
          <w:bCs w:val="0"/>
          <w:caps w:val="0"/>
          <w:noProof/>
          <w:sz w:val="22"/>
          <w:szCs w:val="22"/>
          <w:lang w:eastAsia="en-GB"/>
        </w:rPr>
      </w:pPr>
      <w:hyperlink w:anchor="_Toc104808611" w:history="1">
        <w:r w:rsidR="00CB7716" w:rsidRPr="00C47040">
          <w:rPr>
            <w:rStyle w:val="Hyperlink"/>
            <w:noProof/>
          </w:rPr>
          <w:t>5.</w:t>
        </w:r>
        <w:r w:rsidR="00CB7716">
          <w:rPr>
            <w:rFonts w:eastAsiaTheme="minorEastAsia"/>
            <w:b w:val="0"/>
            <w:bCs w:val="0"/>
            <w:caps w:val="0"/>
            <w:noProof/>
            <w:sz w:val="22"/>
            <w:szCs w:val="22"/>
            <w:lang w:eastAsia="en-GB"/>
          </w:rPr>
          <w:tab/>
        </w:r>
        <w:r w:rsidR="00CB7716" w:rsidRPr="00C47040">
          <w:rPr>
            <w:rStyle w:val="Hyperlink"/>
            <w:noProof/>
          </w:rPr>
          <w:t>Who was consulted and how was their feedback incorporated?</w:t>
        </w:r>
        <w:r w:rsidR="00CB7716">
          <w:rPr>
            <w:noProof/>
            <w:webHidden/>
          </w:rPr>
          <w:tab/>
        </w:r>
        <w:r w:rsidR="00CB7716">
          <w:rPr>
            <w:noProof/>
            <w:webHidden/>
          </w:rPr>
          <w:fldChar w:fldCharType="begin"/>
        </w:r>
        <w:r w:rsidR="00CB7716">
          <w:rPr>
            <w:noProof/>
            <w:webHidden/>
          </w:rPr>
          <w:instrText xml:space="preserve"> PAGEREF _Toc104808611 \h </w:instrText>
        </w:r>
        <w:r w:rsidR="00CB7716">
          <w:rPr>
            <w:noProof/>
            <w:webHidden/>
          </w:rPr>
        </w:r>
        <w:r w:rsidR="00CB7716">
          <w:rPr>
            <w:noProof/>
            <w:webHidden/>
          </w:rPr>
          <w:fldChar w:fldCharType="separate"/>
        </w:r>
        <w:r w:rsidR="00CB7716">
          <w:rPr>
            <w:noProof/>
            <w:webHidden/>
          </w:rPr>
          <w:t>30</w:t>
        </w:r>
        <w:r w:rsidR="00CB7716">
          <w:rPr>
            <w:noProof/>
            <w:webHidden/>
          </w:rPr>
          <w:fldChar w:fldCharType="end"/>
        </w:r>
      </w:hyperlink>
    </w:p>
    <w:p w14:paraId="460B9C08"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12" w:history="1">
        <w:r w:rsidR="00CB7716" w:rsidRPr="00C47040">
          <w:rPr>
            <w:rStyle w:val="Hyperlink"/>
            <w:noProof/>
          </w:rPr>
          <w:t>5.1</w:t>
        </w:r>
        <w:r w:rsidR="00CB7716">
          <w:rPr>
            <w:rFonts w:eastAsiaTheme="minorEastAsia"/>
            <w:smallCaps w:val="0"/>
            <w:noProof/>
            <w:sz w:val="22"/>
            <w:szCs w:val="22"/>
            <w:lang w:eastAsia="en-GB"/>
          </w:rPr>
          <w:tab/>
        </w:r>
        <w:r w:rsidR="00CB7716" w:rsidRPr="00C47040">
          <w:rPr>
            <w:rStyle w:val="Hyperlink"/>
            <w:noProof/>
          </w:rPr>
          <w:t>Who and how we consulted</w:t>
        </w:r>
        <w:r w:rsidR="00CB7716">
          <w:rPr>
            <w:noProof/>
            <w:webHidden/>
          </w:rPr>
          <w:tab/>
        </w:r>
        <w:r w:rsidR="00CB7716">
          <w:rPr>
            <w:noProof/>
            <w:webHidden/>
          </w:rPr>
          <w:fldChar w:fldCharType="begin"/>
        </w:r>
        <w:r w:rsidR="00CB7716">
          <w:rPr>
            <w:noProof/>
            <w:webHidden/>
          </w:rPr>
          <w:instrText xml:space="preserve"> PAGEREF _Toc104808612 \h </w:instrText>
        </w:r>
        <w:r w:rsidR="00CB7716">
          <w:rPr>
            <w:noProof/>
            <w:webHidden/>
          </w:rPr>
        </w:r>
        <w:r w:rsidR="00CB7716">
          <w:rPr>
            <w:noProof/>
            <w:webHidden/>
          </w:rPr>
          <w:fldChar w:fldCharType="separate"/>
        </w:r>
        <w:r w:rsidR="00CB7716">
          <w:rPr>
            <w:noProof/>
            <w:webHidden/>
          </w:rPr>
          <w:t>30</w:t>
        </w:r>
        <w:r w:rsidR="00CB7716">
          <w:rPr>
            <w:noProof/>
            <w:webHidden/>
          </w:rPr>
          <w:fldChar w:fldCharType="end"/>
        </w:r>
      </w:hyperlink>
    </w:p>
    <w:p w14:paraId="466DBA65"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13" w:history="1">
        <w:r w:rsidR="00CB7716" w:rsidRPr="00C47040">
          <w:rPr>
            <w:rStyle w:val="Hyperlink"/>
            <w:noProof/>
          </w:rPr>
          <w:t>5.2</w:t>
        </w:r>
        <w:r w:rsidR="00CB7716">
          <w:rPr>
            <w:rFonts w:eastAsiaTheme="minorEastAsia"/>
            <w:smallCaps w:val="0"/>
            <w:noProof/>
            <w:sz w:val="22"/>
            <w:szCs w:val="22"/>
            <w:lang w:eastAsia="en-GB"/>
          </w:rPr>
          <w:tab/>
        </w:r>
        <w:r w:rsidR="00CB7716" w:rsidRPr="00C47040">
          <w:rPr>
            <w:rStyle w:val="Hyperlink"/>
            <w:noProof/>
          </w:rPr>
          <w:t>Stakeholder views</w:t>
        </w:r>
        <w:r w:rsidR="00CB7716">
          <w:rPr>
            <w:noProof/>
            <w:webHidden/>
          </w:rPr>
          <w:tab/>
        </w:r>
        <w:r w:rsidR="00CB7716">
          <w:rPr>
            <w:noProof/>
            <w:webHidden/>
          </w:rPr>
          <w:fldChar w:fldCharType="begin"/>
        </w:r>
        <w:r w:rsidR="00CB7716">
          <w:rPr>
            <w:noProof/>
            <w:webHidden/>
          </w:rPr>
          <w:instrText xml:space="preserve"> PAGEREF _Toc104808613 \h </w:instrText>
        </w:r>
        <w:r w:rsidR="00CB7716">
          <w:rPr>
            <w:noProof/>
            <w:webHidden/>
          </w:rPr>
        </w:r>
        <w:r w:rsidR="00CB7716">
          <w:rPr>
            <w:noProof/>
            <w:webHidden/>
          </w:rPr>
          <w:fldChar w:fldCharType="separate"/>
        </w:r>
        <w:r w:rsidR="00CB7716">
          <w:rPr>
            <w:noProof/>
            <w:webHidden/>
          </w:rPr>
          <w:t>31</w:t>
        </w:r>
        <w:r w:rsidR="00CB7716">
          <w:rPr>
            <w:noProof/>
            <w:webHidden/>
          </w:rPr>
          <w:fldChar w:fldCharType="end"/>
        </w:r>
      </w:hyperlink>
    </w:p>
    <w:p w14:paraId="7A948636"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14" w:history="1">
        <w:r w:rsidR="00CB7716" w:rsidRPr="00C47040">
          <w:rPr>
            <w:rStyle w:val="Hyperlink"/>
            <w:noProof/>
          </w:rPr>
          <w:t>5.3</w:t>
        </w:r>
        <w:r w:rsidR="00CB7716">
          <w:rPr>
            <w:rFonts w:eastAsiaTheme="minorEastAsia"/>
            <w:smallCaps w:val="0"/>
            <w:noProof/>
            <w:sz w:val="22"/>
            <w:szCs w:val="22"/>
            <w:lang w:eastAsia="en-GB"/>
          </w:rPr>
          <w:tab/>
        </w:r>
        <w:r w:rsidR="00CB7716" w:rsidRPr="00C47040">
          <w:rPr>
            <w:rStyle w:val="Hyperlink"/>
            <w:noProof/>
          </w:rPr>
          <w:t>How we incorporated feedback</w:t>
        </w:r>
        <w:r w:rsidR="00CB7716">
          <w:rPr>
            <w:noProof/>
            <w:webHidden/>
          </w:rPr>
          <w:tab/>
        </w:r>
        <w:r w:rsidR="00CB7716">
          <w:rPr>
            <w:noProof/>
            <w:webHidden/>
          </w:rPr>
          <w:fldChar w:fldCharType="begin"/>
        </w:r>
        <w:r w:rsidR="00CB7716">
          <w:rPr>
            <w:noProof/>
            <w:webHidden/>
          </w:rPr>
          <w:instrText xml:space="preserve"> PAGEREF _Toc104808614 \h </w:instrText>
        </w:r>
        <w:r w:rsidR="00CB7716">
          <w:rPr>
            <w:noProof/>
            <w:webHidden/>
          </w:rPr>
        </w:r>
        <w:r w:rsidR="00CB7716">
          <w:rPr>
            <w:noProof/>
            <w:webHidden/>
          </w:rPr>
          <w:fldChar w:fldCharType="separate"/>
        </w:r>
        <w:r w:rsidR="00CB7716">
          <w:rPr>
            <w:noProof/>
            <w:webHidden/>
          </w:rPr>
          <w:t>32</w:t>
        </w:r>
        <w:r w:rsidR="00CB7716">
          <w:rPr>
            <w:noProof/>
            <w:webHidden/>
          </w:rPr>
          <w:fldChar w:fldCharType="end"/>
        </w:r>
      </w:hyperlink>
    </w:p>
    <w:p w14:paraId="2EEDB76F" w14:textId="77777777" w:rsidR="00CB7716" w:rsidRDefault="00266CCA" w:rsidP="00CB7716">
      <w:pPr>
        <w:pStyle w:val="TOC1"/>
        <w:tabs>
          <w:tab w:val="left" w:pos="440"/>
          <w:tab w:val="right" w:leader="dot" w:pos="9016"/>
        </w:tabs>
        <w:rPr>
          <w:rFonts w:eastAsiaTheme="minorEastAsia"/>
          <w:b w:val="0"/>
          <w:bCs w:val="0"/>
          <w:caps w:val="0"/>
          <w:noProof/>
          <w:sz w:val="22"/>
          <w:szCs w:val="22"/>
          <w:lang w:eastAsia="en-GB"/>
        </w:rPr>
      </w:pPr>
      <w:hyperlink w:anchor="_Toc104808615" w:history="1">
        <w:r w:rsidR="00CB7716" w:rsidRPr="00C47040">
          <w:rPr>
            <w:rStyle w:val="Hyperlink"/>
            <w:noProof/>
          </w:rPr>
          <w:t>6.</w:t>
        </w:r>
        <w:r w:rsidR="00CB7716">
          <w:rPr>
            <w:rFonts w:eastAsiaTheme="minorEastAsia"/>
            <w:b w:val="0"/>
            <w:bCs w:val="0"/>
            <w:caps w:val="0"/>
            <w:noProof/>
            <w:sz w:val="22"/>
            <w:szCs w:val="22"/>
            <w:lang w:eastAsia="en-GB"/>
          </w:rPr>
          <w:tab/>
        </w:r>
        <w:r w:rsidR="00CB7716" w:rsidRPr="00C47040">
          <w:rPr>
            <w:rStyle w:val="Hyperlink"/>
            <w:noProof/>
          </w:rPr>
          <w:t>What is the best option from those considered?</w:t>
        </w:r>
        <w:r w:rsidR="00CB7716">
          <w:rPr>
            <w:noProof/>
            <w:webHidden/>
          </w:rPr>
          <w:tab/>
        </w:r>
        <w:r w:rsidR="00CB7716">
          <w:rPr>
            <w:noProof/>
            <w:webHidden/>
          </w:rPr>
          <w:fldChar w:fldCharType="begin"/>
        </w:r>
        <w:r w:rsidR="00CB7716">
          <w:rPr>
            <w:noProof/>
            <w:webHidden/>
          </w:rPr>
          <w:instrText xml:space="preserve"> PAGEREF _Toc104808615 \h </w:instrText>
        </w:r>
        <w:r w:rsidR="00CB7716">
          <w:rPr>
            <w:noProof/>
            <w:webHidden/>
          </w:rPr>
        </w:r>
        <w:r w:rsidR="00CB7716">
          <w:rPr>
            <w:noProof/>
            <w:webHidden/>
          </w:rPr>
          <w:fldChar w:fldCharType="separate"/>
        </w:r>
        <w:r w:rsidR="00CB7716">
          <w:rPr>
            <w:noProof/>
            <w:webHidden/>
          </w:rPr>
          <w:t>32</w:t>
        </w:r>
        <w:r w:rsidR="00CB7716">
          <w:rPr>
            <w:noProof/>
            <w:webHidden/>
          </w:rPr>
          <w:fldChar w:fldCharType="end"/>
        </w:r>
      </w:hyperlink>
    </w:p>
    <w:p w14:paraId="70A2F3DD" w14:textId="77777777" w:rsidR="00CB7716" w:rsidRDefault="00266CCA" w:rsidP="00CB7716">
      <w:pPr>
        <w:pStyle w:val="TOC1"/>
        <w:tabs>
          <w:tab w:val="left" w:pos="440"/>
          <w:tab w:val="right" w:leader="dot" w:pos="9016"/>
        </w:tabs>
        <w:rPr>
          <w:rFonts w:eastAsiaTheme="minorEastAsia"/>
          <w:b w:val="0"/>
          <w:bCs w:val="0"/>
          <w:caps w:val="0"/>
          <w:noProof/>
          <w:sz w:val="22"/>
          <w:szCs w:val="22"/>
          <w:lang w:eastAsia="en-GB"/>
        </w:rPr>
      </w:pPr>
      <w:hyperlink w:anchor="_Toc104808616" w:history="1">
        <w:r w:rsidR="00CB7716" w:rsidRPr="00C47040">
          <w:rPr>
            <w:rStyle w:val="Hyperlink"/>
            <w:noProof/>
          </w:rPr>
          <w:t>7.</w:t>
        </w:r>
        <w:r w:rsidR="00CB7716">
          <w:rPr>
            <w:rFonts w:eastAsiaTheme="minorEastAsia"/>
            <w:b w:val="0"/>
            <w:bCs w:val="0"/>
            <w:caps w:val="0"/>
            <w:noProof/>
            <w:sz w:val="22"/>
            <w:szCs w:val="22"/>
            <w:lang w:eastAsia="en-GB"/>
          </w:rPr>
          <w:tab/>
        </w:r>
        <w:r w:rsidR="00CB7716" w:rsidRPr="00C47040">
          <w:rPr>
            <w:rStyle w:val="Hyperlink"/>
            <w:noProof/>
          </w:rPr>
          <w:t>How will the chosen option be implemented and evaluated?</w:t>
        </w:r>
        <w:r w:rsidR="00CB7716">
          <w:rPr>
            <w:noProof/>
            <w:webHidden/>
          </w:rPr>
          <w:tab/>
        </w:r>
        <w:r w:rsidR="00CB7716">
          <w:rPr>
            <w:noProof/>
            <w:webHidden/>
          </w:rPr>
          <w:fldChar w:fldCharType="begin"/>
        </w:r>
        <w:r w:rsidR="00CB7716">
          <w:rPr>
            <w:noProof/>
            <w:webHidden/>
          </w:rPr>
          <w:instrText xml:space="preserve"> PAGEREF _Toc104808616 \h </w:instrText>
        </w:r>
        <w:r w:rsidR="00CB7716">
          <w:rPr>
            <w:noProof/>
            <w:webHidden/>
          </w:rPr>
        </w:r>
        <w:r w:rsidR="00CB7716">
          <w:rPr>
            <w:noProof/>
            <w:webHidden/>
          </w:rPr>
          <w:fldChar w:fldCharType="separate"/>
        </w:r>
        <w:r w:rsidR="00CB7716">
          <w:rPr>
            <w:noProof/>
            <w:webHidden/>
          </w:rPr>
          <w:t>33</w:t>
        </w:r>
        <w:r w:rsidR="00CB7716">
          <w:rPr>
            <w:noProof/>
            <w:webHidden/>
          </w:rPr>
          <w:fldChar w:fldCharType="end"/>
        </w:r>
      </w:hyperlink>
    </w:p>
    <w:p w14:paraId="36725D9F" w14:textId="77777777" w:rsidR="00CB7716" w:rsidRDefault="00266CCA" w:rsidP="00CB7716">
      <w:pPr>
        <w:pStyle w:val="TOC1"/>
        <w:tabs>
          <w:tab w:val="left" w:pos="440"/>
          <w:tab w:val="right" w:leader="dot" w:pos="9016"/>
        </w:tabs>
        <w:rPr>
          <w:rFonts w:eastAsiaTheme="minorEastAsia"/>
          <w:b w:val="0"/>
          <w:bCs w:val="0"/>
          <w:caps w:val="0"/>
          <w:noProof/>
          <w:sz w:val="22"/>
          <w:szCs w:val="22"/>
          <w:lang w:eastAsia="en-GB"/>
        </w:rPr>
      </w:pPr>
      <w:hyperlink w:anchor="_Toc104808617" w:history="1">
        <w:r w:rsidR="00CB7716" w:rsidRPr="00C47040">
          <w:rPr>
            <w:rStyle w:val="Hyperlink"/>
            <w:noProof/>
          </w:rPr>
          <w:t>8.</w:t>
        </w:r>
        <w:r w:rsidR="00CB7716">
          <w:rPr>
            <w:rFonts w:eastAsiaTheme="minorEastAsia"/>
            <w:b w:val="0"/>
            <w:bCs w:val="0"/>
            <w:caps w:val="0"/>
            <w:noProof/>
            <w:sz w:val="22"/>
            <w:szCs w:val="22"/>
            <w:lang w:eastAsia="en-GB"/>
          </w:rPr>
          <w:tab/>
        </w:r>
        <w:r w:rsidR="00CB7716" w:rsidRPr="00C47040">
          <w:rPr>
            <w:rStyle w:val="Hyperlink"/>
            <w:noProof/>
          </w:rPr>
          <w:t>Case studies</w:t>
        </w:r>
        <w:r w:rsidR="00CB7716">
          <w:rPr>
            <w:noProof/>
            <w:webHidden/>
          </w:rPr>
          <w:tab/>
        </w:r>
        <w:r w:rsidR="00CB7716">
          <w:rPr>
            <w:noProof/>
            <w:webHidden/>
          </w:rPr>
          <w:fldChar w:fldCharType="begin"/>
        </w:r>
        <w:r w:rsidR="00CB7716">
          <w:rPr>
            <w:noProof/>
            <w:webHidden/>
          </w:rPr>
          <w:instrText xml:space="preserve"> PAGEREF _Toc104808617 \h </w:instrText>
        </w:r>
        <w:r w:rsidR="00CB7716">
          <w:rPr>
            <w:noProof/>
            <w:webHidden/>
          </w:rPr>
        </w:r>
        <w:r w:rsidR="00CB7716">
          <w:rPr>
            <w:noProof/>
            <w:webHidden/>
          </w:rPr>
          <w:fldChar w:fldCharType="separate"/>
        </w:r>
        <w:r w:rsidR="00CB7716">
          <w:rPr>
            <w:noProof/>
            <w:webHidden/>
          </w:rPr>
          <w:t>33</w:t>
        </w:r>
        <w:r w:rsidR="00CB7716">
          <w:rPr>
            <w:noProof/>
            <w:webHidden/>
          </w:rPr>
          <w:fldChar w:fldCharType="end"/>
        </w:r>
      </w:hyperlink>
    </w:p>
    <w:p w14:paraId="5C7E6BCF"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18" w:history="1">
        <w:r w:rsidR="00CB7716" w:rsidRPr="00C47040">
          <w:rPr>
            <w:rStyle w:val="Hyperlink"/>
            <w:noProof/>
          </w:rPr>
          <w:t>8.1</w:t>
        </w:r>
        <w:r w:rsidR="00CB7716">
          <w:rPr>
            <w:rFonts w:eastAsiaTheme="minorEastAsia"/>
            <w:smallCaps w:val="0"/>
            <w:noProof/>
            <w:sz w:val="22"/>
            <w:szCs w:val="22"/>
            <w:lang w:eastAsia="en-GB"/>
          </w:rPr>
          <w:tab/>
        </w:r>
        <w:r w:rsidR="00CB7716" w:rsidRPr="00C47040">
          <w:rPr>
            <w:rStyle w:val="Hyperlink"/>
            <w:noProof/>
          </w:rPr>
          <w:t>Examples of businesses the standard would apply to</w:t>
        </w:r>
        <w:r w:rsidR="00CB7716">
          <w:rPr>
            <w:noProof/>
            <w:webHidden/>
          </w:rPr>
          <w:tab/>
        </w:r>
        <w:r w:rsidR="00CB7716">
          <w:rPr>
            <w:noProof/>
            <w:webHidden/>
          </w:rPr>
          <w:fldChar w:fldCharType="begin"/>
        </w:r>
        <w:r w:rsidR="00CB7716">
          <w:rPr>
            <w:noProof/>
            <w:webHidden/>
          </w:rPr>
          <w:instrText xml:space="preserve"> PAGEREF _Toc104808618 \h </w:instrText>
        </w:r>
        <w:r w:rsidR="00CB7716">
          <w:rPr>
            <w:noProof/>
            <w:webHidden/>
          </w:rPr>
        </w:r>
        <w:r w:rsidR="00CB7716">
          <w:rPr>
            <w:noProof/>
            <w:webHidden/>
          </w:rPr>
          <w:fldChar w:fldCharType="separate"/>
        </w:r>
        <w:r w:rsidR="00CB7716">
          <w:rPr>
            <w:noProof/>
            <w:webHidden/>
          </w:rPr>
          <w:t>34</w:t>
        </w:r>
        <w:r w:rsidR="00CB7716">
          <w:rPr>
            <w:noProof/>
            <w:webHidden/>
          </w:rPr>
          <w:fldChar w:fldCharType="end"/>
        </w:r>
      </w:hyperlink>
    </w:p>
    <w:p w14:paraId="78FAD63D" w14:textId="77777777" w:rsidR="00CB7716" w:rsidRDefault="00266CCA" w:rsidP="00CB7716">
      <w:pPr>
        <w:pStyle w:val="TOC2"/>
        <w:tabs>
          <w:tab w:val="left" w:pos="880"/>
          <w:tab w:val="right" w:leader="dot" w:pos="9016"/>
        </w:tabs>
        <w:rPr>
          <w:rFonts w:eastAsiaTheme="minorEastAsia"/>
          <w:smallCaps w:val="0"/>
          <w:noProof/>
          <w:sz w:val="22"/>
          <w:szCs w:val="22"/>
          <w:lang w:eastAsia="en-GB"/>
        </w:rPr>
      </w:pPr>
      <w:hyperlink w:anchor="_Toc104808619" w:history="1">
        <w:r w:rsidR="00CB7716" w:rsidRPr="00C47040">
          <w:rPr>
            <w:rStyle w:val="Hyperlink"/>
            <w:noProof/>
          </w:rPr>
          <w:t>8.2</w:t>
        </w:r>
        <w:r w:rsidR="00CB7716">
          <w:rPr>
            <w:rFonts w:eastAsiaTheme="minorEastAsia"/>
            <w:smallCaps w:val="0"/>
            <w:noProof/>
            <w:sz w:val="22"/>
            <w:szCs w:val="22"/>
            <w:lang w:eastAsia="en-GB"/>
          </w:rPr>
          <w:tab/>
        </w:r>
        <w:r w:rsidR="00CB7716" w:rsidRPr="00C47040">
          <w:rPr>
            <w:rStyle w:val="Hyperlink"/>
            <w:noProof/>
          </w:rPr>
          <w:t>Examples of where proposed Standard 3.2.2A would NOT apply:</w:t>
        </w:r>
        <w:r w:rsidR="00CB7716">
          <w:rPr>
            <w:noProof/>
            <w:webHidden/>
          </w:rPr>
          <w:tab/>
        </w:r>
        <w:r w:rsidR="00CB7716">
          <w:rPr>
            <w:noProof/>
            <w:webHidden/>
          </w:rPr>
          <w:fldChar w:fldCharType="begin"/>
        </w:r>
        <w:r w:rsidR="00CB7716">
          <w:rPr>
            <w:noProof/>
            <w:webHidden/>
          </w:rPr>
          <w:instrText xml:space="preserve"> PAGEREF _Toc104808619 \h </w:instrText>
        </w:r>
        <w:r w:rsidR="00CB7716">
          <w:rPr>
            <w:noProof/>
            <w:webHidden/>
          </w:rPr>
        </w:r>
        <w:r w:rsidR="00CB7716">
          <w:rPr>
            <w:noProof/>
            <w:webHidden/>
          </w:rPr>
          <w:fldChar w:fldCharType="separate"/>
        </w:r>
        <w:r w:rsidR="00CB7716">
          <w:rPr>
            <w:noProof/>
            <w:webHidden/>
          </w:rPr>
          <w:t>39</w:t>
        </w:r>
        <w:r w:rsidR="00CB7716">
          <w:rPr>
            <w:noProof/>
            <w:webHidden/>
          </w:rPr>
          <w:fldChar w:fldCharType="end"/>
        </w:r>
      </w:hyperlink>
    </w:p>
    <w:p w14:paraId="49F9CD88" w14:textId="77777777" w:rsidR="00CB7716" w:rsidRDefault="00266CCA" w:rsidP="00CB7716">
      <w:pPr>
        <w:pStyle w:val="TOC1"/>
        <w:tabs>
          <w:tab w:val="left" w:pos="440"/>
          <w:tab w:val="right" w:leader="dot" w:pos="9016"/>
        </w:tabs>
        <w:rPr>
          <w:rFonts w:eastAsiaTheme="minorEastAsia"/>
          <w:b w:val="0"/>
          <w:bCs w:val="0"/>
          <w:caps w:val="0"/>
          <w:noProof/>
          <w:sz w:val="22"/>
          <w:szCs w:val="22"/>
          <w:lang w:eastAsia="en-GB"/>
        </w:rPr>
      </w:pPr>
      <w:hyperlink w:anchor="_Toc104808620" w:history="1">
        <w:r w:rsidR="00CB7716" w:rsidRPr="00C47040">
          <w:rPr>
            <w:rStyle w:val="Hyperlink"/>
            <w:noProof/>
          </w:rPr>
          <w:t>9.</w:t>
        </w:r>
        <w:r w:rsidR="00CB7716">
          <w:rPr>
            <w:rFonts w:eastAsiaTheme="minorEastAsia"/>
            <w:b w:val="0"/>
            <w:bCs w:val="0"/>
            <w:caps w:val="0"/>
            <w:noProof/>
            <w:sz w:val="22"/>
            <w:szCs w:val="22"/>
            <w:lang w:eastAsia="en-GB"/>
          </w:rPr>
          <w:tab/>
        </w:r>
        <w:r w:rsidR="00CB7716" w:rsidRPr="00C47040">
          <w:rPr>
            <w:rStyle w:val="Hyperlink"/>
            <w:noProof/>
          </w:rPr>
          <w:t>References</w:t>
        </w:r>
        <w:r w:rsidR="00CB7716">
          <w:rPr>
            <w:noProof/>
            <w:webHidden/>
          </w:rPr>
          <w:tab/>
        </w:r>
        <w:r w:rsidR="00CB7716">
          <w:rPr>
            <w:noProof/>
            <w:webHidden/>
          </w:rPr>
          <w:fldChar w:fldCharType="begin"/>
        </w:r>
        <w:r w:rsidR="00CB7716">
          <w:rPr>
            <w:noProof/>
            <w:webHidden/>
          </w:rPr>
          <w:instrText xml:space="preserve"> PAGEREF _Toc104808620 \h </w:instrText>
        </w:r>
        <w:r w:rsidR="00CB7716">
          <w:rPr>
            <w:noProof/>
            <w:webHidden/>
          </w:rPr>
        </w:r>
        <w:r w:rsidR="00CB7716">
          <w:rPr>
            <w:noProof/>
            <w:webHidden/>
          </w:rPr>
          <w:fldChar w:fldCharType="separate"/>
        </w:r>
        <w:r w:rsidR="00CB7716">
          <w:rPr>
            <w:noProof/>
            <w:webHidden/>
          </w:rPr>
          <w:t>39</w:t>
        </w:r>
        <w:r w:rsidR="00CB7716">
          <w:rPr>
            <w:noProof/>
            <w:webHidden/>
          </w:rPr>
          <w:fldChar w:fldCharType="end"/>
        </w:r>
      </w:hyperlink>
    </w:p>
    <w:p w14:paraId="0F4EBF7D" w14:textId="77777777" w:rsidR="00CB7716" w:rsidRDefault="00266CCA" w:rsidP="00CB7716">
      <w:pPr>
        <w:pStyle w:val="TOC1"/>
        <w:tabs>
          <w:tab w:val="right" w:leader="dot" w:pos="9016"/>
        </w:tabs>
        <w:rPr>
          <w:rFonts w:eastAsiaTheme="minorEastAsia"/>
          <w:b w:val="0"/>
          <w:bCs w:val="0"/>
          <w:caps w:val="0"/>
          <w:noProof/>
          <w:sz w:val="22"/>
          <w:szCs w:val="22"/>
          <w:lang w:eastAsia="en-GB"/>
        </w:rPr>
      </w:pPr>
      <w:hyperlink w:anchor="_Toc104808621" w:history="1">
        <w:r w:rsidR="00CB7716" w:rsidRPr="00C47040">
          <w:rPr>
            <w:rStyle w:val="Hyperlink"/>
            <w:noProof/>
          </w:rPr>
          <w:t>Appendix 1 – Cost–benefit analysis</w:t>
        </w:r>
        <w:r w:rsidR="00CB7716">
          <w:rPr>
            <w:noProof/>
            <w:webHidden/>
          </w:rPr>
          <w:tab/>
        </w:r>
        <w:r w:rsidR="00CB7716">
          <w:rPr>
            <w:noProof/>
            <w:webHidden/>
          </w:rPr>
          <w:fldChar w:fldCharType="begin"/>
        </w:r>
        <w:r w:rsidR="00CB7716">
          <w:rPr>
            <w:noProof/>
            <w:webHidden/>
          </w:rPr>
          <w:instrText xml:space="preserve"> PAGEREF _Toc104808621 \h </w:instrText>
        </w:r>
        <w:r w:rsidR="00CB7716">
          <w:rPr>
            <w:noProof/>
            <w:webHidden/>
          </w:rPr>
        </w:r>
        <w:r w:rsidR="00CB7716">
          <w:rPr>
            <w:noProof/>
            <w:webHidden/>
          </w:rPr>
          <w:fldChar w:fldCharType="separate"/>
        </w:r>
        <w:r w:rsidR="00CB7716">
          <w:rPr>
            <w:noProof/>
            <w:webHidden/>
          </w:rPr>
          <w:t>43</w:t>
        </w:r>
        <w:r w:rsidR="00CB7716">
          <w:rPr>
            <w:noProof/>
            <w:webHidden/>
          </w:rPr>
          <w:fldChar w:fldCharType="end"/>
        </w:r>
      </w:hyperlink>
    </w:p>
    <w:p w14:paraId="5B14D329"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22" w:history="1">
        <w:r w:rsidR="00CB7716" w:rsidRPr="00C47040">
          <w:rPr>
            <w:rStyle w:val="Hyperlink"/>
            <w:noProof/>
          </w:rPr>
          <w:t>Introduction</w:t>
        </w:r>
        <w:r w:rsidR="00CB7716">
          <w:rPr>
            <w:noProof/>
            <w:webHidden/>
          </w:rPr>
          <w:tab/>
        </w:r>
        <w:r w:rsidR="00CB7716">
          <w:rPr>
            <w:noProof/>
            <w:webHidden/>
          </w:rPr>
          <w:fldChar w:fldCharType="begin"/>
        </w:r>
        <w:r w:rsidR="00CB7716">
          <w:rPr>
            <w:noProof/>
            <w:webHidden/>
          </w:rPr>
          <w:instrText xml:space="preserve"> PAGEREF _Toc104808622 \h </w:instrText>
        </w:r>
        <w:r w:rsidR="00CB7716">
          <w:rPr>
            <w:noProof/>
            <w:webHidden/>
          </w:rPr>
        </w:r>
        <w:r w:rsidR="00CB7716">
          <w:rPr>
            <w:noProof/>
            <w:webHidden/>
          </w:rPr>
          <w:fldChar w:fldCharType="separate"/>
        </w:r>
        <w:r w:rsidR="00CB7716">
          <w:rPr>
            <w:noProof/>
            <w:webHidden/>
          </w:rPr>
          <w:t>43</w:t>
        </w:r>
        <w:r w:rsidR="00CB7716">
          <w:rPr>
            <w:noProof/>
            <w:webHidden/>
          </w:rPr>
          <w:fldChar w:fldCharType="end"/>
        </w:r>
      </w:hyperlink>
    </w:p>
    <w:p w14:paraId="48F5A0F0"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23" w:history="1">
        <w:r w:rsidR="00CB7716" w:rsidRPr="00C47040">
          <w:rPr>
            <w:rStyle w:val="Hyperlink"/>
            <w:noProof/>
          </w:rPr>
          <w:t>Cost of interventions</w:t>
        </w:r>
        <w:r w:rsidR="00CB7716">
          <w:rPr>
            <w:noProof/>
            <w:webHidden/>
          </w:rPr>
          <w:tab/>
        </w:r>
        <w:r w:rsidR="00CB7716">
          <w:rPr>
            <w:noProof/>
            <w:webHidden/>
          </w:rPr>
          <w:fldChar w:fldCharType="begin"/>
        </w:r>
        <w:r w:rsidR="00CB7716">
          <w:rPr>
            <w:noProof/>
            <w:webHidden/>
          </w:rPr>
          <w:instrText xml:space="preserve"> PAGEREF _Toc104808623 \h </w:instrText>
        </w:r>
        <w:r w:rsidR="00CB7716">
          <w:rPr>
            <w:noProof/>
            <w:webHidden/>
          </w:rPr>
        </w:r>
        <w:r w:rsidR="00CB7716">
          <w:rPr>
            <w:noProof/>
            <w:webHidden/>
          </w:rPr>
          <w:fldChar w:fldCharType="separate"/>
        </w:r>
        <w:r w:rsidR="00CB7716">
          <w:rPr>
            <w:noProof/>
            <w:webHidden/>
          </w:rPr>
          <w:t>43</w:t>
        </w:r>
        <w:r w:rsidR="00CB7716">
          <w:rPr>
            <w:noProof/>
            <w:webHidden/>
          </w:rPr>
          <w:fldChar w:fldCharType="end"/>
        </w:r>
      </w:hyperlink>
    </w:p>
    <w:p w14:paraId="122BF740"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24" w:history="1">
        <w:r w:rsidR="00CB7716" w:rsidRPr="00C47040">
          <w:rPr>
            <w:rStyle w:val="Hyperlink"/>
            <w:noProof/>
          </w:rPr>
          <w:t>Efficacy of interventions</w:t>
        </w:r>
        <w:r w:rsidR="00CB7716">
          <w:rPr>
            <w:noProof/>
            <w:webHidden/>
          </w:rPr>
          <w:tab/>
        </w:r>
        <w:r w:rsidR="00CB7716">
          <w:rPr>
            <w:noProof/>
            <w:webHidden/>
          </w:rPr>
          <w:fldChar w:fldCharType="begin"/>
        </w:r>
        <w:r w:rsidR="00CB7716">
          <w:rPr>
            <w:noProof/>
            <w:webHidden/>
          </w:rPr>
          <w:instrText xml:space="preserve"> PAGEREF _Toc104808624 \h </w:instrText>
        </w:r>
        <w:r w:rsidR="00CB7716">
          <w:rPr>
            <w:noProof/>
            <w:webHidden/>
          </w:rPr>
        </w:r>
        <w:r w:rsidR="00CB7716">
          <w:rPr>
            <w:noProof/>
            <w:webHidden/>
          </w:rPr>
          <w:fldChar w:fldCharType="separate"/>
        </w:r>
        <w:r w:rsidR="00CB7716">
          <w:rPr>
            <w:noProof/>
            <w:webHidden/>
          </w:rPr>
          <w:t>47</w:t>
        </w:r>
        <w:r w:rsidR="00CB7716">
          <w:rPr>
            <w:noProof/>
            <w:webHidden/>
          </w:rPr>
          <w:fldChar w:fldCharType="end"/>
        </w:r>
      </w:hyperlink>
    </w:p>
    <w:p w14:paraId="3BB9007B"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25" w:history="1">
        <w:r w:rsidR="00CB7716" w:rsidRPr="00C47040">
          <w:rPr>
            <w:rStyle w:val="Hyperlink"/>
            <w:noProof/>
          </w:rPr>
          <w:t>Number of businesses</w:t>
        </w:r>
        <w:r w:rsidR="00CB7716">
          <w:rPr>
            <w:noProof/>
            <w:webHidden/>
          </w:rPr>
          <w:tab/>
        </w:r>
        <w:r w:rsidR="00CB7716">
          <w:rPr>
            <w:noProof/>
            <w:webHidden/>
          </w:rPr>
          <w:fldChar w:fldCharType="begin"/>
        </w:r>
        <w:r w:rsidR="00CB7716">
          <w:rPr>
            <w:noProof/>
            <w:webHidden/>
          </w:rPr>
          <w:instrText xml:space="preserve"> PAGEREF _Toc104808625 \h </w:instrText>
        </w:r>
        <w:r w:rsidR="00CB7716">
          <w:rPr>
            <w:noProof/>
            <w:webHidden/>
          </w:rPr>
        </w:r>
        <w:r w:rsidR="00CB7716">
          <w:rPr>
            <w:noProof/>
            <w:webHidden/>
          </w:rPr>
          <w:fldChar w:fldCharType="separate"/>
        </w:r>
        <w:r w:rsidR="00CB7716">
          <w:rPr>
            <w:noProof/>
            <w:webHidden/>
          </w:rPr>
          <w:t>48</w:t>
        </w:r>
        <w:r w:rsidR="00CB7716">
          <w:rPr>
            <w:noProof/>
            <w:webHidden/>
          </w:rPr>
          <w:fldChar w:fldCharType="end"/>
        </w:r>
      </w:hyperlink>
    </w:p>
    <w:p w14:paraId="43544B4C"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26" w:history="1">
        <w:r w:rsidR="00CB7716" w:rsidRPr="00C47040">
          <w:rPr>
            <w:rStyle w:val="Hyperlink"/>
            <w:noProof/>
          </w:rPr>
          <w:t>Number of illnesses from in-scope food business settings</w:t>
        </w:r>
        <w:r w:rsidR="00CB7716">
          <w:rPr>
            <w:noProof/>
            <w:webHidden/>
          </w:rPr>
          <w:tab/>
        </w:r>
        <w:r w:rsidR="00CB7716">
          <w:rPr>
            <w:noProof/>
            <w:webHidden/>
          </w:rPr>
          <w:fldChar w:fldCharType="begin"/>
        </w:r>
        <w:r w:rsidR="00CB7716">
          <w:rPr>
            <w:noProof/>
            <w:webHidden/>
          </w:rPr>
          <w:instrText xml:space="preserve"> PAGEREF _Toc104808626 \h </w:instrText>
        </w:r>
        <w:r w:rsidR="00CB7716">
          <w:rPr>
            <w:noProof/>
            <w:webHidden/>
          </w:rPr>
        </w:r>
        <w:r w:rsidR="00CB7716">
          <w:rPr>
            <w:noProof/>
            <w:webHidden/>
          </w:rPr>
          <w:fldChar w:fldCharType="separate"/>
        </w:r>
        <w:r w:rsidR="00CB7716">
          <w:rPr>
            <w:noProof/>
            <w:webHidden/>
          </w:rPr>
          <w:t>48</w:t>
        </w:r>
        <w:r w:rsidR="00CB7716">
          <w:rPr>
            <w:noProof/>
            <w:webHidden/>
          </w:rPr>
          <w:fldChar w:fldCharType="end"/>
        </w:r>
      </w:hyperlink>
    </w:p>
    <w:p w14:paraId="13D96992"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27" w:history="1">
        <w:r w:rsidR="00CB7716" w:rsidRPr="00C47040">
          <w:rPr>
            <w:rStyle w:val="Hyperlink"/>
            <w:noProof/>
          </w:rPr>
          <w:t>Net benefit of each option</w:t>
        </w:r>
        <w:r w:rsidR="00CB7716">
          <w:rPr>
            <w:noProof/>
            <w:webHidden/>
          </w:rPr>
          <w:tab/>
        </w:r>
        <w:r w:rsidR="00CB7716">
          <w:rPr>
            <w:noProof/>
            <w:webHidden/>
          </w:rPr>
          <w:fldChar w:fldCharType="begin"/>
        </w:r>
        <w:r w:rsidR="00CB7716">
          <w:rPr>
            <w:noProof/>
            <w:webHidden/>
          </w:rPr>
          <w:instrText xml:space="preserve"> PAGEREF _Toc104808627 \h </w:instrText>
        </w:r>
        <w:r w:rsidR="00CB7716">
          <w:rPr>
            <w:noProof/>
            <w:webHidden/>
          </w:rPr>
        </w:r>
        <w:r w:rsidR="00CB7716">
          <w:rPr>
            <w:noProof/>
            <w:webHidden/>
          </w:rPr>
          <w:fldChar w:fldCharType="separate"/>
        </w:r>
        <w:r w:rsidR="00CB7716">
          <w:rPr>
            <w:noProof/>
            <w:webHidden/>
          </w:rPr>
          <w:t>49</w:t>
        </w:r>
        <w:r w:rsidR="00CB7716">
          <w:rPr>
            <w:noProof/>
            <w:webHidden/>
          </w:rPr>
          <w:fldChar w:fldCharType="end"/>
        </w:r>
      </w:hyperlink>
    </w:p>
    <w:p w14:paraId="16B3BA0B" w14:textId="77777777" w:rsidR="00CB7716" w:rsidRDefault="00266CCA" w:rsidP="00CB7716">
      <w:pPr>
        <w:pStyle w:val="TOC1"/>
        <w:tabs>
          <w:tab w:val="right" w:leader="dot" w:pos="9016"/>
        </w:tabs>
        <w:rPr>
          <w:rFonts w:eastAsiaTheme="minorEastAsia"/>
          <w:b w:val="0"/>
          <w:bCs w:val="0"/>
          <w:caps w:val="0"/>
          <w:noProof/>
          <w:sz w:val="22"/>
          <w:szCs w:val="22"/>
          <w:lang w:eastAsia="en-GB"/>
        </w:rPr>
      </w:pPr>
      <w:hyperlink w:anchor="_Toc104808628" w:history="1">
        <w:r w:rsidR="00CB7716" w:rsidRPr="00C47040">
          <w:rPr>
            <w:rStyle w:val="Hyperlink"/>
            <w:noProof/>
          </w:rPr>
          <w:t>Appendix 2 – Food safety culture initiatives and education</w:t>
        </w:r>
        <w:r w:rsidR="00CB7716">
          <w:rPr>
            <w:noProof/>
            <w:webHidden/>
          </w:rPr>
          <w:tab/>
        </w:r>
        <w:r w:rsidR="00CB7716">
          <w:rPr>
            <w:noProof/>
            <w:webHidden/>
          </w:rPr>
          <w:fldChar w:fldCharType="begin"/>
        </w:r>
        <w:r w:rsidR="00CB7716">
          <w:rPr>
            <w:noProof/>
            <w:webHidden/>
          </w:rPr>
          <w:instrText xml:space="preserve"> PAGEREF _Toc104808628 \h </w:instrText>
        </w:r>
        <w:r w:rsidR="00CB7716">
          <w:rPr>
            <w:noProof/>
            <w:webHidden/>
          </w:rPr>
        </w:r>
        <w:r w:rsidR="00CB7716">
          <w:rPr>
            <w:noProof/>
            <w:webHidden/>
          </w:rPr>
          <w:fldChar w:fldCharType="separate"/>
        </w:r>
        <w:r w:rsidR="00CB7716">
          <w:rPr>
            <w:noProof/>
            <w:webHidden/>
          </w:rPr>
          <w:t>51</w:t>
        </w:r>
        <w:r w:rsidR="00CB7716">
          <w:rPr>
            <w:noProof/>
            <w:webHidden/>
          </w:rPr>
          <w:fldChar w:fldCharType="end"/>
        </w:r>
      </w:hyperlink>
    </w:p>
    <w:p w14:paraId="07F4EDB9"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29" w:history="1">
        <w:r w:rsidR="00CB7716" w:rsidRPr="00C47040">
          <w:rPr>
            <w:rStyle w:val="Hyperlink"/>
            <w:noProof/>
          </w:rPr>
          <w:t>Global, international and national focus on food safety culture</w:t>
        </w:r>
        <w:r w:rsidR="00CB7716">
          <w:rPr>
            <w:noProof/>
            <w:webHidden/>
          </w:rPr>
          <w:tab/>
        </w:r>
        <w:r w:rsidR="00CB7716">
          <w:rPr>
            <w:noProof/>
            <w:webHidden/>
          </w:rPr>
          <w:fldChar w:fldCharType="begin"/>
        </w:r>
        <w:r w:rsidR="00CB7716">
          <w:rPr>
            <w:noProof/>
            <w:webHidden/>
          </w:rPr>
          <w:instrText xml:space="preserve"> PAGEREF _Toc104808629 \h </w:instrText>
        </w:r>
        <w:r w:rsidR="00CB7716">
          <w:rPr>
            <w:noProof/>
            <w:webHidden/>
          </w:rPr>
        </w:r>
        <w:r w:rsidR="00CB7716">
          <w:rPr>
            <w:noProof/>
            <w:webHidden/>
          </w:rPr>
          <w:fldChar w:fldCharType="separate"/>
        </w:r>
        <w:r w:rsidR="00CB7716">
          <w:rPr>
            <w:noProof/>
            <w:webHidden/>
          </w:rPr>
          <w:t>51</w:t>
        </w:r>
        <w:r w:rsidR="00CB7716">
          <w:rPr>
            <w:noProof/>
            <w:webHidden/>
          </w:rPr>
          <w:fldChar w:fldCharType="end"/>
        </w:r>
      </w:hyperlink>
    </w:p>
    <w:p w14:paraId="5A508EBF"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30" w:history="1">
        <w:r w:rsidR="00CB7716" w:rsidRPr="00C47040">
          <w:rPr>
            <w:rStyle w:val="Hyperlink"/>
            <w:noProof/>
          </w:rPr>
          <w:t>Food safety culture initiatives in Australia</w:t>
        </w:r>
        <w:r w:rsidR="00CB7716">
          <w:rPr>
            <w:noProof/>
            <w:webHidden/>
          </w:rPr>
          <w:tab/>
        </w:r>
        <w:r w:rsidR="00CB7716">
          <w:rPr>
            <w:noProof/>
            <w:webHidden/>
          </w:rPr>
          <w:fldChar w:fldCharType="begin"/>
        </w:r>
        <w:r w:rsidR="00CB7716">
          <w:rPr>
            <w:noProof/>
            <w:webHidden/>
          </w:rPr>
          <w:instrText xml:space="preserve"> PAGEREF _Toc104808630 \h </w:instrText>
        </w:r>
        <w:r w:rsidR="00CB7716">
          <w:rPr>
            <w:noProof/>
            <w:webHidden/>
          </w:rPr>
        </w:r>
        <w:r w:rsidR="00CB7716">
          <w:rPr>
            <w:noProof/>
            <w:webHidden/>
          </w:rPr>
          <w:fldChar w:fldCharType="separate"/>
        </w:r>
        <w:r w:rsidR="00CB7716">
          <w:rPr>
            <w:noProof/>
            <w:webHidden/>
          </w:rPr>
          <w:t>51</w:t>
        </w:r>
        <w:r w:rsidR="00CB7716">
          <w:rPr>
            <w:noProof/>
            <w:webHidden/>
          </w:rPr>
          <w:fldChar w:fldCharType="end"/>
        </w:r>
      </w:hyperlink>
    </w:p>
    <w:p w14:paraId="5F812C99" w14:textId="77777777" w:rsidR="00CB7716" w:rsidRDefault="00266CCA" w:rsidP="00CB7716">
      <w:pPr>
        <w:pStyle w:val="TOC1"/>
        <w:tabs>
          <w:tab w:val="right" w:leader="dot" w:pos="9016"/>
        </w:tabs>
        <w:rPr>
          <w:rFonts w:eastAsiaTheme="minorEastAsia"/>
          <w:b w:val="0"/>
          <w:bCs w:val="0"/>
          <w:caps w:val="0"/>
          <w:noProof/>
          <w:sz w:val="22"/>
          <w:szCs w:val="22"/>
          <w:lang w:eastAsia="en-GB"/>
        </w:rPr>
      </w:pPr>
      <w:hyperlink w:anchor="_Toc104808631" w:history="1">
        <w:r w:rsidR="00CB7716" w:rsidRPr="00C47040">
          <w:rPr>
            <w:rStyle w:val="Hyperlink"/>
            <w:noProof/>
          </w:rPr>
          <w:t>Appendix 3 – International approaches</w:t>
        </w:r>
        <w:r w:rsidR="00CB7716">
          <w:rPr>
            <w:noProof/>
            <w:webHidden/>
          </w:rPr>
          <w:tab/>
        </w:r>
        <w:r w:rsidR="00CB7716">
          <w:rPr>
            <w:noProof/>
            <w:webHidden/>
          </w:rPr>
          <w:fldChar w:fldCharType="begin"/>
        </w:r>
        <w:r w:rsidR="00CB7716">
          <w:rPr>
            <w:noProof/>
            <w:webHidden/>
          </w:rPr>
          <w:instrText xml:space="preserve"> PAGEREF _Toc104808631 \h </w:instrText>
        </w:r>
        <w:r w:rsidR="00CB7716">
          <w:rPr>
            <w:noProof/>
            <w:webHidden/>
          </w:rPr>
        </w:r>
        <w:r w:rsidR="00CB7716">
          <w:rPr>
            <w:noProof/>
            <w:webHidden/>
          </w:rPr>
          <w:fldChar w:fldCharType="separate"/>
        </w:r>
        <w:r w:rsidR="00CB7716">
          <w:rPr>
            <w:noProof/>
            <w:webHidden/>
          </w:rPr>
          <w:t>52</w:t>
        </w:r>
        <w:r w:rsidR="00CB7716">
          <w:rPr>
            <w:noProof/>
            <w:webHidden/>
          </w:rPr>
          <w:fldChar w:fldCharType="end"/>
        </w:r>
      </w:hyperlink>
    </w:p>
    <w:p w14:paraId="7998C30B"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32" w:history="1">
        <w:r w:rsidR="00CB7716" w:rsidRPr="00C47040">
          <w:rPr>
            <w:rStyle w:val="Hyperlink"/>
            <w:noProof/>
          </w:rPr>
          <w:t>Codex overarching principles</w:t>
        </w:r>
        <w:r w:rsidR="00CB7716">
          <w:rPr>
            <w:noProof/>
            <w:webHidden/>
          </w:rPr>
          <w:tab/>
        </w:r>
        <w:r w:rsidR="00CB7716">
          <w:rPr>
            <w:noProof/>
            <w:webHidden/>
          </w:rPr>
          <w:fldChar w:fldCharType="begin"/>
        </w:r>
        <w:r w:rsidR="00CB7716">
          <w:rPr>
            <w:noProof/>
            <w:webHidden/>
          </w:rPr>
          <w:instrText xml:space="preserve"> PAGEREF _Toc104808632 \h </w:instrText>
        </w:r>
        <w:r w:rsidR="00CB7716">
          <w:rPr>
            <w:noProof/>
            <w:webHidden/>
          </w:rPr>
        </w:r>
        <w:r w:rsidR="00CB7716">
          <w:rPr>
            <w:noProof/>
            <w:webHidden/>
          </w:rPr>
          <w:fldChar w:fldCharType="separate"/>
        </w:r>
        <w:r w:rsidR="00CB7716">
          <w:rPr>
            <w:noProof/>
            <w:webHidden/>
          </w:rPr>
          <w:t>52</w:t>
        </w:r>
        <w:r w:rsidR="00CB7716">
          <w:rPr>
            <w:noProof/>
            <w:webHidden/>
          </w:rPr>
          <w:fldChar w:fldCharType="end"/>
        </w:r>
      </w:hyperlink>
    </w:p>
    <w:p w14:paraId="747F788D" w14:textId="77777777" w:rsidR="00CB7716" w:rsidRDefault="00266CCA" w:rsidP="00CB7716">
      <w:pPr>
        <w:pStyle w:val="TOC2"/>
        <w:tabs>
          <w:tab w:val="right" w:leader="dot" w:pos="9016"/>
        </w:tabs>
        <w:rPr>
          <w:rFonts w:eastAsiaTheme="minorEastAsia"/>
          <w:smallCaps w:val="0"/>
          <w:noProof/>
          <w:sz w:val="22"/>
          <w:szCs w:val="22"/>
          <w:lang w:eastAsia="en-GB"/>
        </w:rPr>
      </w:pPr>
      <w:hyperlink w:anchor="_Toc104808633" w:history="1">
        <w:r w:rsidR="00CB7716" w:rsidRPr="00C47040">
          <w:rPr>
            <w:rStyle w:val="Hyperlink"/>
            <w:noProof/>
          </w:rPr>
          <w:t>Regulatory measures for food safety management</w:t>
        </w:r>
        <w:r w:rsidR="00CB7716">
          <w:rPr>
            <w:noProof/>
            <w:webHidden/>
          </w:rPr>
          <w:tab/>
        </w:r>
        <w:r w:rsidR="00CB7716">
          <w:rPr>
            <w:noProof/>
            <w:webHidden/>
          </w:rPr>
          <w:fldChar w:fldCharType="begin"/>
        </w:r>
        <w:r w:rsidR="00CB7716">
          <w:rPr>
            <w:noProof/>
            <w:webHidden/>
          </w:rPr>
          <w:instrText xml:space="preserve"> PAGEREF _Toc104808633 \h </w:instrText>
        </w:r>
        <w:r w:rsidR="00CB7716">
          <w:rPr>
            <w:noProof/>
            <w:webHidden/>
          </w:rPr>
        </w:r>
        <w:r w:rsidR="00CB7716">
          <w:rPr>
            <w:noProof/>
            <w:webHidden/>
          </w:rPr>
          <w:fldChar w:fldCharType="separate"/>
        </w:r>
        <w:r w:rsidR="00CB7716">
          <w:rPr>
            <w:noProof/>
            <w:webHidden/>
          </w:rPr>
          <w:t>52</w:t>
        </w:r>
        <w:r w:rsidR="00CB7716">
          <w:rPr>
            <w:noProof/>
            <w:webHidden/>
          </w:rPr>
          <w:fldChar w:fldCharType="end"/>
        </w:r>
      </w:hyperlink>
    </w:p>
    <w:p w14:paraId="5940A74B" w14:textId="3C36AF54" w:rsidR="00CB7716" w:rsidRDefault="00CB7716" w:rsidP="00CB7716">
      <w:pPr>
        <w:pStyle w:val="TOC1"/>
        <w:tabs>
          <w:tab w:val="left" w:pos="2679"/>
          <w:tab w:val="right" w:leader="dot" w:pos="9060"/>
        </w:tabs>
        <w:rPr>
          <w:rFonts w:ascii="Arial" w:hAnsi="Arial" w:cs="Arial"/>
          <w:sz w:val="22"/>
          <w:szCs w:val="22"/>
        </w:rPr>
      </w:pPr>
      <w:r>
        <w:rPr>
          <w:rFonts w:ascii="Arial" w:hAnsi="Arial" w:cs="Arial"/>
          <w:sz w:val="22"/>
          <w:szCs w:val="22"/>
        </w:rPr>
        <w:lastRenderedPageBreak/>
        <w:fldChar w:fldCharType="end"/>
      </w:r>
    </w:p>
    <w:p w14:paraId="205EBBA5" w14:textId="77777777" w:rsidR="00CB7716" w:rsidRPr="003A43D8" w:rsidRDefault="00CB7716" w:rsidP="00CB7716"/>
    <w:p w14:paraId="6D5162C9" w14:textId="77777777" w:rsidR="00CB7716" w:rsidRPr="00470A3E" w:rsidRDefault="00CB7716" w:rsidP="00CB7716">
      <w:pPr>
        <w:rPr>
          <w:rStyle w:val="Heading1Char"/>
        </w:rPr>
      </w:pPr>
      <w:bookmarkStart w:id="220" w:name="_Toc104808594"/>
      <w:bookmarkStart w:id="221" w:name="_Toc107412674"/>
      <w:bookmarkStart w:id="222" w:name="_Toc109300439"/>
      <w:bookmarkStart w:id="223" w:name="_Toc426380820"/>
      <w:bookmarkStart w:id="224" w:name="_Toc426380885"/>
      <w:bookmarkStart w:id="225" w:name="_Toc426380916"/>
      <w:r>
        <w:rPr>
          <w:rStyle w:val="Heading1Char"/>
          <w:b w:val="0"/>
        </w:rPr>
        <w:t>Abbreviations</w:t>
      </w:r>
      <w:bookmarkEnd w:id="220"/>
      <w:bookmarkEnd w:id="221"/>
      <w:bookmarkEnd w:id="222"/>
    </w:p>
    <w:p w14:paraId="66479B8C" w14:textId="77777777" w:rsidR="00CB7716" w:rsidRPr="002B0592" w:rsidRDefault="00CB7716" w:rsidP="00CB7716"/>
    <w:p w14:paraId="642744AA" w14:textId="77777777" w:rsidR="00CB7716" w:rsidRDefault="00CB7716" w:rsidP="00CB7716">
      <w:r>
        <w:t xml:space="preserve">CRIS </w:t>
      </w:r>
      <w:r>
        <w:tab/>
        <w:t>consultation regulatory impact statement</w:t>
      </w:r>
    </w:p>
    <w:p w14:paraId="518222CC" w14:textId="77777777" w:rsidR="00CB7716" w:rsidRDefault="00CB7716" w:rsidP="00CB7716">
      <w:r>
        <w:t>DRIS</w:t>
      </w:r>
      <w:r>
        <w:tab/>
      </w:r>
      <w:r>
        <w:tab/>
        <w:t>decision regulatory impact statement</w:t>
      </w:r>
    </w:p>
    <w:p w14:paraId="087DBB50" w14:textId="77777777" w:rsidR="00CB7716" w:rsidRPr="00E843B5" w:rsidRDefault="00CB7716" w:rsidP="00CB7716">
      <w:r>
        <w:t>E</w:t>
      </w:r>
      <w:r>
        <w:tab/>
      </w:r>
      <w:r>
        <w:tab/>
        <w:t>evidence to substantiate food safety management</w:t>
      </w:r>
    </w:p>
    <w:p w14:paraId="5A879F50" w14:textId="77777777" w:rsidR="00CB7716" w:rsidRDefault="00CB7716" w:rsidP="00CB7716">
      <w:r>
        <w:t>EHO</w:t>
      </w:r>
      <w:r>
        <w:tab/>
      </w:r>
      <w:r>
        <w:tab/>
        <w:t>environmental health officer</w:t>
      </w:r>
    </w:p>
    <w:p w14:paraId="1FF7A332" w14:textId="77777777" w:rsidR="00CB7716" w:rsidRDefault="00CB7716" w:rsidP="00CB7716">
      <w:r>
        <w:t>FHT</w:t>
      </w:r>
      <w:r>
        <w:tab/>
      </w:r>
      <w:r>
        <w:tab/>
        <w:t>food handler training</w:t>
      </w:r>
    </w:p>
    <w:p w14:paraId="7A3C748D" w14:textId="77777777" w:rsidR="00CB7716" w:rsidRDefault="00CB7716" w:rsidP="00CB7716">
      <w:r>
        <w:t>FRSC</w:t>
      </w:r>
      <w:r>
        <w:tab/>
        <w:t>Food Regulation Standing Committee</w:t>
      </w:r>
    </w:p>
    <w:p w14:paraId="7C5038AF" w14:textId="77777777" w:rsidR="00CB7716" w:rsidRDefault="00CB7716" w:rsidP="00CB7716">
      <w:r>
        <w:t>FSANZ</w:t>
      </w:r>
      <w:r>
        <w:tab/>
        <w:t>Food Standards Australia New Zealand</w:t>
      </w:r>
    </w:p>
    <w:p w14:paraId="2C9B8E55" w14:textId="77777777" w:rsidR="00CB7716" w:rsidRDefault="00CB7716" w:rsidP="00CB7716">
      <w:r>
        <w:t>FSM WG</w:t>
      </w:r>
      <w:r>
        <w:tab/>
        <w:t>Food Safety Management Working Group</w:t>
      </w:r>
    </w:p>
    <w:p w14:paraId="66B016FD" w14:textId="77777777" w:rsidR="00CB7716" w:rsidRDefault="00CB7716" w:rsidP="00CB7716">
      <w:r>
        <w:t>FSP</w:t>
      </w:r>
      <w:r>
        <w:tab/>
      </w:r>
      <w:r>
        <w:tab/>
        <w:t>food safety program</w:t>
      </w:r>
    </w:p>
    <w:p w14:paraId="0C6EC606" w14:textId="77777777" w:rsidR="00CB7716" w:rsidRDefault="00CB7716" w:rsidP="00CB7716">
      <w:r>
        <w:t>FSS</w:t>
      </w:r>
      <w:r>
        <w:tab/>
      </w:r>
      <w:r>
        <w:tab/>
        <w:t>food safety supervisor</w:t>
      </w:r>
    </w:p>
    <w:p w14:paraId="10AF8D0E" w14:textId="77777777" w:rsidR="00CB7716" w:rsidRDefault="00CB7716" w:rsidP="00CB7716">
      <w:r w:rsidRPr="68C0CA2D">
        <w:rPr>
          <w:rFonts w:cs="Arial"/>
        </w:rPr>
        <w:t>ISFR</w:t>
      </w:r>
      <w:r>
        <w:tab/>
      </w:r>
      <w:r>
        <w:tab/>
      </w:r>
      <w:r w:rsidRPr="68C0CA2D">
        <w:rPr>
          <w:rFonts w:cs="Arial"/>
          <w:lang w:val="en-AU"/>
        </w:rPr>
        <w:t>Implementation Subcommittee for Food Regulation</w:t>
      </w:r>
    </w:p>
    <w:p w14:paraId="39C30064" w14:textId="77777777" w:rsidR="00CB7716" w:rsidRDefault="00CB7716" w:rsidP="00CB7716">
      <w:r>
        <w:t>P1</w:t>
      </w:r>
      <w:r>
        <w:tab/>
      </w:r>
      <w:r>
        <w:tab/>
        <w:t>Priority 1 business (using the national Risk Profiling Framework)</w:t>
      </w:r>
    </w:p>
    <w:p w14:paraId="08F2DFE9" w14:textId="77777777" w:rsidR="00CB7716" w:rsidRDefault="00CB7716" w:rsidP="00CB7716">
      <w:r>
        <w:t>P2</w:t>
      </w:r>
      <w:r>
        <w:tab/>
      </w:r>
      <w:r>
        <w:tab/>
        <w:t>Priority 2 business (using the national Risk Profiling Framework)</w:t>
      </w:r>
    </w:p>
    <w:p w14:paraId="6884B07A" w14:textId="77777777" w:rsidR="00CB7716" w:rsidRDefault="00CB7716" w:rsidP="00CB7716">
      <w:r>
        <w:t>PHF</w:t>
      </w:r>
      <w:r>
        <w:tab/>
      </w:r>
      <w:r>
        <w:tab/>
        <w:t>potentially hazardous food</w:t>
      </w:r>
    </w:p>
    <w:p w14:paraId="4573396C" w14:textId="77777777" w:rsidR="00CB7716" w:rsidRDefault="00CB7716" w:rsidP="00CB7716">
      <w:r>
        <w:t>RTE</w:t>
      </w:r>
      <w:r>
        <w:tab/>
      </w:r>
      <w:r>
        <w:tab/>
        <w:t>ready to eat</w:t>
      </w:r>
    </w:p>
    <w:p w14:paraId="706EBCCC" w14:textId="39117807" w:rsidR="00CB7716" w:rsidRDefault="0081747A" w:rsidP="00CB7716">
      <w:pPr>
        <w:rPr>
          <w:rFonts w:eastAsia="Calibri"/>
        </w:rPr>
      </w:pPr>
      <w:r>
        <w:rPr>
          <w:rFonts w:eastAsia="Calibri"/>
        </w:rPr>
        <w:t xml:space="preserve">SOP </w:t>
      </w:r>
      <w:r>
        <w:rPr>
          <w:rFonts w:eastAsia="Calibri"/>
        </w:rPr>
        <w:tab/>
      </w:r>
      <w:r>
        <w:rPr>
          <w:rFonts w:eastAsia="Calibri"/>
        </w:rPr>
        <w:tab/>
      </w:r>
      <w:r w:rsidR="00CB7716" w:rsidRPr="68C0CA2D">
        <w:rPr>
          <w:rFonts w:eastAsia="Calibri"/>
        </w:rPr>
        <w:t>standard operating procedure</w:t>
      </w:r>
    </w:p>
    <w:p w14:paraId="634DD2C5" w14:textId="77777777" w:rsidR="00CB7716" w:rsidRDefault="00CB7716" w:rsidP="00CB7716"/>
    <w:p w14:paraId="3B9BC8BA" w14:textId="77777777" w:rsidR="00CB7716" w:rsidRDefault="00CB7716" w:rsidP="00CB7716">
      <w:pPr>
        <w:rPr>
          <w:rStyle w:val="Heading1Char"/>
          <w:b w:val="0"/>
        </w:rPr>
      </w:pPr>
      <w:r>
        <w:rPr>
          <w:rStyle w:val="Heading1Char"/>
          <w:b w:val="0"/>
        </w:rPr>
        <w:br w:type="page"/>
      </w:r>
    </w:p>
    <w:p w14:paraId="62705665" w14:textId="77777777" w:rsidR="00CB7716" w:rsidRPr="006D619E" w:rsidRDefault="00CB7716" w:rsidP="006D619E">
      <w:pPr>
        <w:pStyle w:val="Heading2"/>
        <w:numPr>
          <w:ilvl w:val="0"/>
          <w:numId w:val="0"/>
        </w:numPr>
        <w:ind w:left="576" w:hanging="576"/>
        <w:rPr>
          <w:bCs w:val="0"/>
        </w:rPr>
      </w:pPr>
      <w:bookmarkStart w:id="226" w:name="_Toc104808595"/>
      <w:bookmarkStart w:id="227" w:name="_Toc107412675"/>
      <w:bookmarkStart w:id="228" w:name="_Toc109300440"/>
      <w:r w:rsidRPr="006D619E">
        <w:rPr>
          <w:bCs w:val="0"/>
        </w:rPr>
        <w:lastRenderedPageBreak/>
        <w:t>1</w:t>
      </w:r>
      <w:r w:rsidRPr="006D619E">
        <w:tab/>
        <w:t>Introduction</w:t>
      </w:r>
      <w:bookmarkEnd w:id="223"/>
      <w:bookmarkEnd w:id="224"/>
      <w:bookmarkEnd w:id="225"/>
      <w:bookmarkEnd w:id="226"/>
      <w:bookmarkEnd w:id="227"/>
      <w:bookmarkEnd w:id="228"/>
    </w:p>
    <w:p w14:paraId="0AAF3DD5" w14:textId="70C6CE40" w:rsidR="00CB7716" w:rsidRDefault="00CB7716" w:rsidP="004F36C6">
      <w:pPr>
        <w:spacing w:after="240"/>
      </w:pPr>
      <w:r w:rsidRPr="00F14AA9">
        <w:rPr>
          <w:lang w:val="en-AU"/>
        </w:rPr>
        <w:t>FSA</w:t>
      </w:r>
      <w:r>
        <w:rPr>
          <w:lang w:val="en-AU"/>
        </w:rPr>
        <w:t>NZ Proposal P1053 – Food Safety Management Tools</w:t>
      </w:r>
      <w:r w:rsidRPr="00F14AA9">
        <w:rPr>
          <w:lang w:val="en-AU"/>
        </w:rPr>
        <w:t xml:space="preserve"> </w:t>
      </w:r>
      <w:r w:rsidRPr="00AB7684">
        <w:rPr>
          <w:lang w:val="en-AU"/>
        </w:rPr>
        <w:t>consider</w:t>
      </w:r>
      <w:r>
        <w:rPr>
          <w:lang w:val="en-AU"/>
        </w:rPr>
        <w:t>ed</w:t>
      </w:r>
      <w:r w:rsidRPr="00AB7684">
        <w:rPr>
          <w:lang w:val="en-AU"/>
        </w:rPr>
        <w:t xml:space="preserve"> </w:t>
      </w:r>
      <w:r>
        <w:rPr>
          <w:lang w:val="en-AU"/>
        </w:rPr>
        <w:t>whether regulatory measures over and above existing general requirements should be mandated to</w:t>
      </w:r>
      <w:r w:rsidRPr="00AB7684">
        <w:rPr>
          <w:lang w:val="en-AU"/>
        </w:rPr>
        <w:t xml:space="preserve"> manag</w:t>
      </w:r>
      <w:r>
        <w:rPr>
          <w:lang w:val="en-AU"/>
        </w:rPr>
        <w:t>e</w:t>
      </w:r>
      <w:r w:rsidRPr="00AB7684">
        <w:rPr>
          <w:lang w:val="en-AU"/>
        </w:rPr>
        <w:t xml:space="preserve"> food safety</w:t>
      </w:r>
      <w:r w:rsidRPr="0017083D">
        <w:rPr>
          <w:lang w:val="en-AU"/>
        </w:rPr>
        <w:t xml:space="preserve"> </w:t>
      </w:r>
      <w:r w:rsidRPr="00AB7684">
        <w:rPr>
          <w:lang w:val="en-AU"/>
        </w:rPr>
        <w:t>risks</w:t>
      </w:r>
      <w:r w:rsidRPr="005E4FAC">
        <w:rPr>
          <w:lang w:val="en-AU"/>
        </w:rPr>
        <w:t xml:space="preserve"> </w:t>
      </w:r>
      <w:r>
        <w:rPr>
          <w:lang w:val="en-AU"/>
        </w:rPr>
        <w:t>in food service and related retail sectors</w:t>
      </w:r>
      <w:r w:rsidRPr="00AB7684">
        <w:rPr>
          <w:lang w:val="en-AU"/>
        </w:rPr>
        <w:t xml:space="preserve">. </w:t>
      </w:r>
      <w:r>
        <w:t xml:space="preserve">This DRIS has been prepared in accordance with the </w:t>
      </w:r>
      <w:r w:rsidRPr="3C0957AF">
        <w:rPr>
          <w:i/>
          <w:iCs/>
        </w:rPr>
        <w:t>Regulatory Impact Analysis Guide for Ministers’ Meetings and National Standard Setting Bodies</w:t>
      </w:r>
      <w:r>
        <w:t xml:space="preserve"> (May 2021)</w:t>
      </w:r>
      <w:r>
        <w:rPr>
          <w:rStyle w:val="FootnoteReference"/>
        </w:rPr>
        <w:footnoteReference w:id="12"/>
      </w:r>
      <w:r>
        <w:t xml:space="preserve"> and answers the following seven questions using the best available information:</w:t>
      </w:r>
    </w:p>
    <w:p w14:paraId="7FE3BF62" w14:textId="77777777" w:rsidR="00CB7716" w:rsidRDefault="00CB7716" w:rsidP="00614AF5">
      <w:pPr>
        <w:pStyle w:val="ListParagraph"/>
        <w:numPr>
          <w:ilvl w:val="0"/>
          <w:numId w:val="67"/>
        </w:numPr>
        <w:spacing w:after="240"/>
      </w:pPr>
      <w:r>
        <w:t>What is the problem?</w:t>
      </w:r>
    </w:p>
    <w:p w14:paraId="5F321CD8" w14:textId="77777777" w:rsidR="00CB7716" w:rsidRDefault="00CB7716" w:rsidP="00614AF5">
      <w:pPr>
        <w:pStyle w:val="ListParagraph"/>
        <w:numPr>
          <w:ilvl w:val="0"/>
          <w:numId w:val="67"/>
        </w:numPr>
        <w:spacing w:after="240"/>
      </w:pPr>
      <w:r>
        <w:t>Why is government action needed?</w:t>
      </w:r>
    </w:p>
    <w:p w14:paraId="20896941" w14:textId="77777777" w:rsidR="00CB7716" w:rsidRDefault="00CB7716" w:rsidP="00614AF5">
      <w:pPr>
        <w:pStyle w:val="ListParagraph"/>
        <w:numPr>
          <w:ilvl w:val="0"/>
          <w:numId w:val="67"/>
        </w:numPr>
        <w:spacing w:after="240"/>
      </w:pPr>
      <w:r>
        <w:t>What policy options are to be considered?</w:t>
      </w:r>
    </w:p>
    <w:p w14:paraId="5297B3D6" w14:textId="77777777" w:rsidR="00CB7716" w:rsidRDefault="00CB7716" w:rsidP="00614AF5">
      <w:pPr>
        <w:pStyle w:val="ListParagraph"/>
        <w:numPr>
          <w:ilvl w:val="0"/>
          <w:numId w:val="67"/>
        </w:numPr>
        <w:spacing w:after="240"/>
      </w:pPr>
      <w:r>
        <w:t>What is the likely net benefit of each option?</w:t>
      </w:r>
    </w:p>
    <w:p w14:paraId="20DAEEB0" w14:textId="77777777" w:rsidR="00CB7716" w:rsidRDefault="00CB7716" w:rsidP="00614AF5">
      <w:pPr>
        <w:pStyle w:val="ListParagraph"/>
        <w:numPr>
          <w:ilvl w:val="0"/>
          <w:numId w:val="67"/>
        </w:numPr>
        <w:spacing w:after="240"/>
      </w:pPr>
      <w:r>
        <w:t>Who was consulted and how was their feedback incorporated?</w:t>
      </w:r>
    </w:p>
    <w:p w14:paraId="0A039688" w14:textId="77777777" w:rsidR="00CB7716" w:rsidRDefault="00CB7716" w:rsidP="00614AF5">
      <w:pPr>
        <w:pStyle w:val="ListParagraph"/>
        <w:numPr>
          <w:ilvl w:val="0"/>
          <w:numId w:val="67"/>
        </w:numPr>
        <w:spacing w:after="240"/>
      </w:pPr>
      <w:r>
        <w:t>What is the best option from those considered?</w:t>
      </w:r>
    </w:p>
    <w:p w14:paraId="46B2828C" w14:textId="77777777" w:rsidR="00CB7716" w:rsidRDefault="00CB7716" w:rsidP="00614AF5">
      <w:pPr>
        <w:pStyle w:val="ListParagraph"/>
        <w:numPr>
          <w:ilvl w:val="0"/>
          <w:numId w:val="67"/>
        </w:numPr>
        <w:spacing w:after="240"/>
      </w:pPr>
      <w:r>
        <w:t>How will the chosen option be implemented and evaluated?</w:t>
      </w:r>
    </w:p>
    <w:p w14:paraId="494715F7" w14:textId="14EC2DE7" w:rsidR="00CB7716" w:rsidRDefault="00CB7716" w:rsidP="004F36C6">
      <w:pPr>
        <w:spacing w:after="240"/>
        <w:rPr>
          <w:lang w:val="en-US"/>
        </w:rPr>
      </w:pPr>
      <w:r w:rsidRPr="00722E1C">
        <w:rPr>
          <w:lang w:val="en-US"/>
        </w:rPr>
        <w:t xml:space="preserve">In our assessment, FSANZ considered the extent of foodborne illness caused by food service </w:t>
      </w:r>
      <w:r>
        <w:rPr>
          <w:lang w:val="en-US"/>
        </w:rPr>
        <w:t xml:space="preserve">and retail </w:t>
      </w:r>
      <w:r w:rsidRPr="00722E1C">
        <w:rPr>
          <w:lang w:val="en-US"/>
        </w:rPr>
        <w:t>businesses in Australia</w:t>
      </w:r>
      <w:r>
        <w:rPr>
          <w:rStyle w:val="FootnoteReference"/>
          <w:lang w:val="en-US"/>
        </w:rPr>
        <w:footnoteReference w:id="13"/>
      </w:r>
      <w:r>
        <w:rPr>
          <w:lang w:val="en-US"/>
        </w:rPr>
        <w:t>,</w:t>
      </w:r>
      <w:r w:rsidRPr="00722E1C">
        <w:rPr>
          <w:lang w:val="en-US"/>
        </w:rPr>
        <w:t xml:space="preserve"> and where improvements in food safety management are needed. We examined current regulatory arrangements in Australia and international approaches. We</w:t>
      </w:r>
      <w:r w:rsidRPr="00722E1C" w:rsidDel="003D6941">
        <w:rPr>
          <w:lang w:val="en-US"/>
        </w:rPr>
        <w:t xml:space="preserve"> </w:t>
      </w:r>
      <w:r w:rsidRPr="00722E1C">
        <w:rPr>
          <w:lang w:val="en-US"/>
        </w:rPr>
        <w:t>considered</w:t>
      </w:r>
      <w:r>
        <w:rPr>
          <w:lang w:val="en-US"/>
        </w:rPr>
        <w:t xml:space="preserve"> </w:t>
      </w:r>
      <w:r w:rsidRPr="00722E1C">
        <w:rPr>
          <w:lang w:val="en-US"/>
        </w:rPr>
        <w:t>options by assessing risks, costs, benefits and appropriateness</w:t>
      </w:r>
      <w:r>
        <w:rPr>
          <w:lang w:val="en-US"/>
        </w:rPr>
        <w:t xml:space="preserve"> of the interventions. </w:t>
      </w:r>
    </w:p>
    <w:p w14:paraId="407635EC" w14:textId="31784FB6" w:rsidR="00643567" w:rsidRPr="00643567" w:rsidRDefault="00CB7716" w:rsidP="004F36C6">
      <w:pPr>
        <w:spacing w:after="240"/>
      </w:pPr>
      <w:r w:rsidRPr="00A41684">
        <w:t xml:space="preserve">The </w:t>
      </w:r>
      <w:r>
        <w:t>food service and retail</w:t>
      </w:r>
      <w:r w:rsidRPr="00A41684">
        <w:t xml:space="preserve"> sector</w:t>
      </w:r>
      <w:r>
        <w:t>s</w:t>
      </w:r>
      <w:r w:rsidRPr="00A41684">
        <w:t xml:space="preserve"> cover a </w:t>
      </w:r>
      <w:r>
        <w:t>broad range</w:t>
      </w:r>
      <w:r w:rsidRPr="00A41684">
        <w:t xml:space="preserve"> of business types</w:t>
      </w:r>
      <w:r>
        <w:t>,</w:t>
      </w:r>
      <w:r w:rsidRPr="00A41684">
        <w:t xml:space="preserve"> including restaurants, takeaways, commercial caterers, camps, cruise/airline, national franchised fast</w:t>
      </w:r>
      <w:r>
        <w:t>-</w:t>
      </w:r>
      <w:r w:rsidRPr="00A41684">
        <w:t>food outlets an</w:t>
      </w:r>
      <w:r>
        <w:t>d delicatessens (Abelson 2006</w:t>
      </w:r>
      <w:r w:rsidRPr="00A41684">
        <w:t>).</w:t>
      </w:r>
      <w:r>
        <w:t xml:space="preserve"> Many</w:t>
      </w:r>
      <w:r w:rsidRPr="00A41684">
        <w:t xml:space="preserve"> of these businesses are </w:t>
      </w:r>
      <w:r>
        <w:t>small-to-medium enterprises</w:t>
      </w:r>
      <w:r w:rsidRPr="00A41684">
        <w:t xml:space="preserve"> </w:t>
      </w:r>
      <w:r>
        <w:t>with</w:t>
      </w:r>
      <w:r w:rsidRPr="00A41684">
        <w:t xml:space="preserve"> a transient workforce</w:t>
      </w:r>
      <w:r>
        <w:t>,</w:t>
      </w:r>
      <w:r w:rsidRPr="00A41684">
        <w:t xml:space="preserve"> not affiliated with industry </w:t>
      </w:r>
      <w:r>
        <w:t>associations</w:t>
      </w:r>
      <w:r w:rsidR="00643567">
        <w:t>.</w:t>
      </w:r>
    </w:p>
    <w:p w14:paraId="13B45DD0" w14:textId="1066B4B9" w:rsidR="00CB7716" w:rsidRPr="00EB7634" w:rsidRDefault="00CB7716" w:rsidP="004F36C6">
      <w:pPr>
        <w:spacing w:after="240"/>
      </w:pPr>
      <w:r>
        <w:t>By their n</w:t>
      </w:r>
      <w:r w:rsidRPr="00EB7634">
        <w:t>ature, food service and retail businesses are challenging environments for adequately controlling food safe</w:t>
      </w:r>
      <w:r>
        <w:t>ty risks. They deal with high-r</w:t>
      </w:r>
      <w:r w:rsidRPr="00EB7634">
        <w:t>isk food that is often substantially and directly handled (i.e. unpackaged food) during preparation, often under time pressures and with no further treatm</w:t>
      </w:r>
      <w:r>
        <w:t xml:space="preserve">ent by consumers before eating. </w:t>
      </w:r>
      <w:r w:rsidRPr="00EB7634">
        <w:rPr>
          <w:lang w:val="en"/>
        </w:rPr>
        <w:t>Food businesses have reported challenges dealing with competing and often complex priorities including staffing, managing suppliers, increasing costs, remaining co</w:t>
      </w:r>
      <w:r>
        <w:rPr>
          <w:lang w:val="en"/>
        </w:rPr>
        <w:t>mpetitive, providing high-</w:t>
      </w:r>
      <w:r w:rsidRPr="00EB7634">
        <w:rPr>
          <w:lang w:val="en"/>
        </w:rPr>
        <w:t>quality products at affordable price</w:t>
      </w:r>
      <w:r>
        <w:rPr>
          <w:lang w:val="en"/>
        </w:rPr>
        <w:t>s, and working long hours</w:t>
      </w:r>
      <w:r w:rsidRPr="00EB7634">
        <w:rPr>
          <w:lang w:val="en"/>
        </w:rPr>
        <w:t xml:space="preserve">. </w:t>
      </w:r>
      <w:r w:rsidRPr="00EB7634">
        <w:t xml:space="preserve">Compounding these issues, food service sectors are characterised by high staff turnover and relatively high proportions of workers who are inexperienced, casual staff and/or migrants from diverse cultural and language backgrounds. </w:t>
      </w:r>
    </w:p>
    <w:p w14:paraId="097FC0C5" w14:textId="35717E75" w:rsidR="00CB7716" w:rsidRDefault="00CB7716" w:rsidP="006D619E">
      <w:pPr>
        <w:pStyle w:val="Heading3"/>
        <w:numPr>
          <w:ilvl w:val="0"/>
          <w:numId w:val="0"/>
        </w:numPr>
        <w:ind w:left="720" w:hanging="720"/>
      </w:pPr>
      <w:bookmarkStart w:id="229" w:name="_Toc104808596"/>
      <w:bookmarkStart w:id="230" w:name="_Toc107412676"/>
      <w:bookmarkStart w:id="231" w:name="_Toc109300441"/>
      <w:r>
        <w:t>1.1</w:t>
      </w:r>
      <w:r>
        <w:tab/>
        <w:t>Background</w:t>
      </w:r>
      <w:bookmarkEnd w:id="229"/>
      <w:bookmarkEnd w:id="230"/>
      <w:bookmarkEnd w:id="231"/>
      <w:r>
        <w:t xml:space="preserve"> </w:t>
      </w:r>
    </w:p>
    <w:p w14:paraId="0512EEA2" w14:textId="047132FF" w:rsidR="00CB7716" w:rsidRDefault="00CB7716" w:rsidP="004F36C6">
      <w:pPr>
        <w:spacing w:after="240"/>
      </w:pPr>
      <w:r>
        <w:t xml:space="preserve">In June 2018, ministers responsible for food regulation agreed to strengthen food safety management in food service and retail priority business sectors, to reduce foodborne illness. </w:t>
      </w:r>
      <w:r w:rsidRPr="00685F1A">
        <w:t xml:space="preserve">The </w:t>
      </w:r>
      <w:r w:rsidRPr="007C38BB">
        <w:t>2011 Revised Ministerial Policy Guideline on Food Safety Management for General Food Service and Closely Related Retail Sectors</w:t>
      </w:r>
      <w:r>
        <w:t xml:space="preserve"> </w:t>
      </w:r>
      <w:r>
        <w:rPr>
          <w:rStyle w:val="FootnoteReference"/>
        </w:rPr>
        <w:footnoteReference w:id="14"/>
      </w:r>
      <w:r>
        <w:t>(</w:t>
      </w:r>
      <w:bookmarkStart w:id="232" w:name="_Int_ysBGl4bQ"/>
      <w:r>
        <w:t>the</w:t>
      </w:r>
      <w:bookmarkEnd w:id="232"/>
      <w:r>
        <w:t xml:space="preserve"> Policy Guideline) </w:t>
      </w:r>
      <w:r>
        <w:rPr>
          <w:lang w:val="en-AU"/>
        </w:rPr>
        <w:t>identifies these priority business sectors</w:t>
      </w:r>
      <w:r>
        <w:t>.</w:t>
      </w:r>
    </w:p>
    <w:p w14:paraId="42595EA5" w14:textId="41E8F12D" w:rsidR="00CB7716" w:rsidRDefault="00CB7716" w:rsidP="004F36C6">
      <w:pPr>
        <w:spacing w:after="240"/>
      </w:pPr>
      <w:r>
        <w:t xml:space="preserve">A multijurisdictional food safety management working group (FSM WG) evaluated current requirements and concluded that extra measures would improve food safety </w:t>
      </w:r>
      <w:r w:rsidRPr="00CB1E5A">
        <w:t xml:space="preserve">outcomes </w:t>
      </w:r>
      <w:r>
        <w:t xml:space="preserve">in </w:t>
      </w:r>
      <w:r>
        <w:lastRenderedPageBreak/>
        <w:t>these sectors</w:t>
      </w:r>
      <w:r w:rsidDel="009C5600">
        <w:t xml:space="preserve"> </w:t>
      </w:r>
      <w:r w:rsidRPr="00CB1E5A" w:rsidDel="009C5600">
        <w:t>(</w:t>
      </w:r>
      <w:r w:rsidDel="009C5600">
        <w:t>see</w:t>
      </w:r>
      <w:r w:rsidRPr="00CB1E5A" w:rsidDel="009C5600">
        <w:t xml:space="preserve"> </w:t>
      </w:r>
      <w:r w:rsidDel="009C5600">
        <w:t xml:space="preserve">the </w:t>
      </w:r>
      <w:r>
        <w:t>P1053 Call for Submissions report</w:t>
      </w:r>
      <w:r w:rsidRPr="48861835">
        <w:rPr>
          <w:rStyle w:val="FootnoteReference"/>
        </w:rPr>
        <w:footnoteReference w:id="15"/>
      </w:r>
      <w:r>
        <w:t xml:space="preserve">). It proposed additional food safety management tools, both regulatory and non-regulatory. </w:t>
      </w:r>
    </w:p>
    <w:p w14:paraId="7990B6B5" w14:textId="77777777" w:rsidR="00CB7716" w:rsidRDefault="00CB7716" w:rsidP="004F36C6">
      <w:pPr>
        <w:spacing w:after="240"/>
      </w:pPr>
      <w:r>
        <w:t>Following stakeholder consultation</w:t>
      </w:r>
      <w:r>
        <w:rPr>
          <w:rStyle w:val="FootnoteReference"/>
        </w:rPr>
        <w:footnoteReference w:id="16"/>
      </w:r>
      <w:r>
        <w:t>, the FSM WG presented a package of regulatory and non-regulatory food safety tools to the Food Regulation Standing Committee</w:t>
      </w:r>
      <w:r>
        <w:rPr>
          <w:rStyle w:val="FootnoteReference"/>
          <w:rFonts w:cs="Arial"/>
        </w:rPr>
        <w:footnoteReference w:id="17"/>
      </w:r>
      <w:r>
        <w:t xml:space="preserve"> (FRSC). The regulatory measures proposed were:</w:t>
      </w:r>
    </w:p>
    <w:p w14:paraId="3FBE24A1" w14:textId="77777777" w:rsidR="00CB7716" w:rsidRDefault="00CB7716" w:rsidP="00614AF5">
      <w:pPr>
        <w:pStyle w:val="ListParagraph"/>
        <w:numPr>
          <w:ilvl w:val="0"/>
          <w:numId w:val="68"/>
        </w:numPr>
        <w:spacing w:after="240"/>
      </w:pPr>
      <w:r>
        <w:t>the requirement for a food safety supervisor (competency-based training)</w:t>
      </w:r>
    </w:p>
    <w:p w14:paraId="7C901D76" w14:textId="77777777" w:rsidR="00CB7716" w:rsidRDefault="00CB7716" w:rsidP="00614AF5">
      <w:pPr>
        <w:pStyle w:val="ListParagraph"/>
        <w:numPr>
          <w:ilvl w:val="0"/>
          <w:numId w:val="68"/>
        </w:numPr>
        <w:spacing w:after="240"/>
      </w:pPr>
      <w:r>
        <w:t>mandatory training for all food handlers (non-competency based)</w:t>
      </w:r>
    </w:p>
    <w:p w14:paraId="3FC72410" w14:textId="77777777" w:rsidR="00CB7716" w:rsidRDefault="00CB7716" w:rsidP="00614AF5">
      <w:pPr>
        <w:pStyle w:val="ListParagraph"/>
        <w:numPr>
          <w:ilvl w:val="0"/>
          <w:numId w:val="68"/>
        </w:numPr>
        <w:spacing w:after="240"/>
      </w:pPr>
      <w:r>
        <w:t>requiring evidence be provided to demonstrate that key activities or control measures are managed.</w:t>
      </w:r>
    </w:p>
    <w:p w14:paraId="55BF5EBD" w14:textId="77777777" w:rsidR="00CB7716" w:rsidRDefault="00CB7716" w:rsidP="00614AF5">
      <w:pPr>
        <w:pStyle w:val="ListParagraph"/>
        <w:numPr>
          <w:ilvl w:val="0"/>
          <w:numId w:val="68"/>
        </w:numPr>
        <w:spacing w:after="240"/>
      </w:pPr>
      <w:r>
        <w:t>The non-regulatory tools proposed were:</w:t>
      </w:r>
    </w:p>
    <w:p w14:paraId="29A26C34" w14:textId="77777777" w:rsidR="00CB7716" w:rsidRDefault="00CB7716" w:rsidP="00614AF5">
      <w:pPr>
        <w:pStyle w:val="ListParagraph"/>
        <w:numPr>
          <w:ilvl w:val="0"/>
          <w:numId w:val="68"/>
        </w:numPr>
        <w:spacing w:after="240"/>
      </w:pPr>
      <w:r>
        <w:t>food safety culture initiatives</w:t>
      </w:r>
    </w:p>
    <w:p w14:paraId="571DBDD0" w14:textId="77777777" w:rsidR="00CB7716" w:rsidRDefault="00CB7716" w:rsidP="00614AF5">
      <w:pPr>
        <w:pStyle w:val="ListParagraph"/>
        <w:numPr>
          <w:ilvl w:val="0"/>
          <w:numId w:val="68"/>
        </w:numPr>
        <w:spacing w:after="240"/>
      </w:pPr>
      <w:r>
        <w:t xml:space="preserve">a </w:t>
      </w:r>
      <w:r w:rsidRPr="00A32F53">
        <w:t>comprehensive</w:t>
      </w:r>
      <w:r>
        <w:t xml:space="preserve"> and integrated, support and education package to guide both food businesses and local government as key regulatory partners.</w:t>
      </w:r>
    </w:p>
    <w:p w14:paraId="2B07B3DF" w14:textId="19892309" w:rsidR="00CB7716" w:rsidRDefault="00CB7716" w:rsidP="004F36C6">
      <w:pPr>
        <w:spacing w:after="240"/>
      </w:pPr>
      <w:r w:rsidRPr="004677A1">
        <w:t xml:space="preserve">Ministers endorsed this work and referred the package to FSANZ for assessment. Ministers also recommended the </w:t>
      </w:r>
      <w:hyperlink r:id="rId47" w:history="1">
        <w:r w:rsidRPr="3C0957AF">
          <w:rPr>
            <w:rStyle w:val="Hyperlink"/>
            <w:rFonts w:cstheme="minorBidi"/>
          </w:rPr>
          <w:t>Integrated Model for Standards Development and Consistent Implementation</w:t>
        </w:r>
      </w:hyperlink>
      <w:r>
        <w:rPr>
          <w:rStyle w:val="FootnoteReference"/>
        </w:rPr>
        <w:footnoteReference w:id="18"/>
      </w:r>
      <w:r w:rsidRPr="004677A1">
        <w:t xml:space="preserve"> (</w:t>
      </w:r>
      <w:bookmarkStart w:id="233" w:name="_Int_qgpx1V2l"/>
      <w:r w:rsidRPr="004677A1">
        <w:t>integrated</w:t>
      </w:r>
      <w:bookmarkEnd w:id="233"/>
      <w:r w:rsidRPr="004677A1">
        <w:t xml:space="preserve"> model) be used. </w:t>
      </w:r>
      <w:r>
        <w:t>This m</w:t>
      </w:r>
      <w:r w:rsidRPr="0062032E">
        <w:t xml:space="preserve">odel </w:t>
      </w:r>
      <w:r>
        <w:t xml:space="preserve">involves FSANZ working closely with food regulators, to </w:t>
      </w:r>
      <w:r w:rsidRPr="0062032E">
        <w:t xml:space="preserve">ensure </w:t>
      </w:r>
      <w:r>
        <w:t xml:space="preserve">new regulatory measures </w:t>
      </w:r>
      <w:r w:rsidRPr="0062032E">
        <w:t>can be consistently implemented in all jurisdictions</w:t>
      </w:r>
      <w:r>
        <w:t>,</w:t>
      </w:r>
      <w:r w:rsidRPr="0062032E">
        <w:t xml:space="preserve"> and that guidance is available to industry </w:t>
      </w:r>
      <w:r>
        <w:t>upon commencement of a new standard</w:t>
      </w:r>
      <w:r w:rsidRPr="0062032E">
        <w:t>.</w:t>
      </w:r>
    </w:p>
    <w:p w14:paraId="618C4DA6" w14:textId="7401270C" w:rsidR="00CB7716" w:rsidRDefault="00CB7716" w:rsidP="004F36C6">
      <w:pPr>
        <w:spacing w:after="240"/>
      </w:pPr>
      <w:r>
        <w:t>FSANZ</w:t>
      </w:r>
      <w:r w:rsidDel="00EA691D">
        <w:t xml:space="preserve"> </w:t>
      </w:r>
      <w:r>
        <w:t xml:space="preserve">prepared Proposal P1053 to consider whether to amend the </w:t>
      </w:r>
      <w:hyperlink r:id="rId48" w:history="1">
        <w:r w:rsidRPr="00DA2CA1">
          <w:rPr>
            <w:rStyle w:val="Hyperlink"/>
            <w:rFonts w:cstheme="minorBidi"/>
          </w:rPr>
          <w:t>Australia New Zealand Food Standards Code</w:t>
        </w:r>
      </w:hyperlink>
      <w:r>
        <w:t xml:space="preserve"> (the Code) to mandate any of the food regulatory measures in the package endorsed by ministers. The </w:t>
      </w:r>
      <w:r w:rsidRPr="0062032E">
        <w:rPr>
          <w:i/>
        </w:rPr>
        <w:t>Food Standards Australia New Zealand Act 1991</w:t>
      </w:r>
      <w:r>
        <w:t xml:space="preserve"> (FSANZ Act) requires FSANZ to assess the proposed food regulatory measures in accordance with that Act, and to make its own decision on mandating these or other measures. </w:t>
      </w:r>
    </w:p>
    <w:p w14:paraId="5E8BB8C3" w14:textId="196762C1" w:rsidR="00CB7716" w:rsidRDefault="00CB7716" w:rsidP="006D619E">
      <w:pPr>
        <w:pStyle w:val="Heading3"/>
        <w:numPr>
          <w:ilvl w:val="0"/>
          <w:numId w:val="0"/>
        </w:numPr>
        <w:ind w:left="720" w:hanging="720"/>
      </w:pPr>
      <w:bookmarkStart w:id="234" w:name="_Toc104808597"/>
      <w:bookmarkStart w:id="235" w:name="_Toc107412677"/>
      <w:bookmarkStart w:id="236" w:name="_Toc109300442"/>
      <w:bookmarkStart w:id="237" w:name="_Toc33094504"/>
      <w:bookmarkStart w:id="238" w:name="_Toc70953231"/>
      <w:r>
        <w:t>1.2</w:t>
      </w:r>
      <w:r>
        <w:tab/>
        <w:t>Scope</w:t>
      </w:r>
      <w:bookmarkEnd w:id="234"/>
      <w:bookmarkEnd w:id="235"/>
      <w:bookmarkEnd w:id="236"/>
      <w:r>
        <w:t xml:space="preserve"> </w:t>
      </w:r>
      <w:bookmarkEnd w:id="237"/>
      <w:bookmarkEnd w:id="238"/>
    </w:p>
    <w:p w14:paraId="313BFA6A" w14:textId="77777777" w:rsidR="00CB7716" w:rsidRPr="004657C0" w:rsidRDefault="00CB7716" w:rsidP="004F36C6">
      <w:pPr>
        <w:spacing w:after="240"/>
      </w:pPr>
      <w:r>
        <w:t>The Policy Guideline</w:t>
      </w:r>
      <w:r w:rsidRPr="004657C0">
        <w:t xml:space="preserve"> identifie</w:t>
      </w:r>
      <w:r>
        <w:t>s</w:t>
      </w:r>
      <w:r w:rsidRPr="004657C0">
        <w:t xml:space="preserve"> </w:t>
      </w:r>
      <w:r w:rsidRPr="004657C0">
        <w:rPr>
          <w:rFonts w:cs="Arial"/>
        </w:rPr>
        <w:t xml:space="preserve">eight business sectors </w:t>
      </w:r>
      <w:r>
        <w:rPr>
          <w:rFonts w:cs="Arial"/>
        </w:rPr>
        <w:t xml:space="preserve">as high priorities for improving </w:t>
      </w:r>
      <w:r w:rsidRPr="004657C0">
        <w:rPr>
          <w:rFonts w:cs="Arial"/>
        </w:rPr>
        <w:t xml:space="preserve">food safety management. </w:t>
      </w:r>
      <w:r w:rsidRPr="004657C0">
        <w:t xml:space="preserve">These sectors have been assigned Priority 1 (P1) and Priority 2 (P2) classification using the national </w:t>
      </w:r>
      <w:r w:rsidRPr="3C0957AF">
        <w:rPr>
          <w:i/>
          <w:iCs/>
        </w:rPr>
        <w:t>Risk Profiling Framework</w:t>
      </w:r>
      <w:r>
        <w:t xml:space="preserve"> (the Framework)</w:t>
      </w:r>
      <w:r w:rsidRPr="004657C0">
        <w:rPr>
          <w:rStyle w:val="FootnoteReference"/>
        </w:rPr>
        <w:footnoteReference w:id="19"/>
      </w:r>
      <w:r>
        <w:t xml:space="preserve">, </w:t>
      </w:r>
      <w:r w:rsidRPr="004657C0">
        <w:t xml:space="preserve">the endorsed national methodology for </w:t>
      </w:r>
      <w:r>
        <w:t>classifying</w:t>
      </w:r>
      <w:r w:rsidRPr="004657C0">
        <w:t xml:space="preserve"> food businesses</w:t>
      </w:r>
      <w:r>
        <w:t xml:space="preserve"> by food safety risk</w:t>
      </w:r>
      <w:r w:rsidRPr="004657C0">
        <w:t xml:space="preserve">. </w:t>
      </w:r>
      <w:r w:rsidRPr="004657C0">
        <w:rPr>
          <w:rFonts w:cs="Arial"/>
        </w:rPr>
        <w:t>The sectors are:</w:t>
      </w:r>
    </w:p>
    <w:p w14:paraId="65028BB9" w14:textId="77777777" w:rsidR="00CB7716" w:rsidRPr="004657C0" w:rsidRDefault="00CB7716" w:rsidP="00614AF5">
      <w:pPr>
        <w:pStyle w:val="ListParagraph"/>
        <w:numPr>
          <w:ilvl w:val="0"/>
          <w:numId w:val="69"/>
        </w:numPr>
        <w:spacing w:after="240"/>
      </w:pPr>
      <w:r w:rsidRPr="004657C0">
        <w:t>on-site and off-site caterers</w:t>
      </w:r>
    </w:p>
    <w:p w14:paraId="2DB72288" w14:textId="77777777" w:rsidR="00CB7716" w:rsidRPr="004657C0" w:rsidRDefault="00CB7716" w:rsidP="00614AF5">
      <w:pPr>
        <w:pStyle w:val="ListParagraph"/>
        <w:numPr>
          <w:ilvl w:val="0"/>
          <w:numId w:val="69"/>
        </w:numPr>
        <w:spacing w:after="240"/>
      </w:pPr>
      <w:r w:rsidRPr="004657C0">
        <w:t>food service for ready-to-eat (RTE) food prepared in advance</w:t>
      </w:r>
    </w:p>
    <w:p w14:paraId="65B48B94" w14:textId="77777777" w:rsidR="00CB7716" w:rsidRPr="004657C0" w:rsidRDefault="00CB7716" w:rsidP="00614AF5">
      <w:pPr>
        <w:pStyle w:val="ListParagraph"/>
        <w:numPr>
          <w:ilvl w:val="0"/>
          <w:numId w:val="69"/>
        </w:numPr>
        <w:spacing w:after="240"/>
      </w:pPr>
      <w:r w:rsidRPr="004657C0">
        <w:t>retailers that process bakery products containing potentially hazardous foods (PHF</w:t>
      </w:r>
      <w:r>
        <w:t>), see below</w:t>
      </w:r>
    </w:p>
    <w:p w14:paraId="5A5B943E" w14:textId="77777777" w:rsidR="00CB7716" w:rsidRPr="004657C0" w:rsidRDefault="00CB7716" w:rsidP="00614AF5">
      <w:pPr>
        <w:pStyle w:val="ListParagraph"/>
        <w:numPr>
          <w:ilvl w:val="0"/>
          <w:numId w:val="69"/>
        </w:numPr>
        <w:spacing w:after="240"/>
      </w:pPr>
      <w:r w:rsidRPr="004657C0">
        <w:t xml:space="preserve">food service for express order </w:t>
      </w:r>
    </w:p>
    <w:p w14:paraId="0652E272" w14:textId="77777777" w:rsidR="00CB7716" w:rsidRPr="004657C0" w:rsidRDefault="00CB7716" w:rsidP="00614AF5">
      <w:pPr>
        <w:pStyle w:val="ListParagraph"/>
        <w:numPr>
          <w:ilvl w:val="0"/>
          <w:numId w:val="69"/>
        </w:numPr>
        <w:spacing w:after="240"/>
      </w:pPr>
      <w:r w:rsidRPr="004657C0">
        <w:t>retailers of bakery products containing PHF</w:t>
      </w:r>
    </w:p>
    <w:p w14:paraId="34C5F3AD" w14:textId="77777777" w:rsidR="00CB7716" w:rsidRPr="004657C0" w:rsidRDefault="00CB7716" w:rsidP="00614AF5">
      <w:pPr>
        <w:pStyle w:val="ListParagraph"/>
        <w:numPr>
          <w:ilvl w:val="0"/>
          <w:numId w:val="69"/>
        </w:numPr>
        <w:spacing w:after="240"/>
      </w:pPr>
      <w:r w:rsidRPr="004657C0">
        <w:t xml:space="preserve">retailers of RTE </w:t>
      </w:r>
      <w:r>
        <w:t>pre-</w:t>
      </w:r>
      <w:r w:rsidRPr="004657C0">
        <w:t xml:space="preserve">packaged PHF </w:t>
      </w:r>
    </w:p>
    <w:p w14:paraId="2921F988" w14:textId="77777777" w:rsidR="00CB7716" w:rsidRPr="004657C0" w:rsidRDefault="00CB7716" w:rsidP="00614AF5">
      <w:pPr>
        <w:pStyle w:val="ListParagraph"/>
        <w:numPr>
          <w:ilvl w:val="0"/>
          <w:numId w:val="69"/>
        </w:numPr>
        <w:spacing w:after="240"/>
      </w:pPr>
      <w:r w:rsidRPr="004657C0">
        <w:t>retailers of RTE processed seafood products</w:t>
      </w:r>
    </w:p>
    <w:p w14:paraId="176EAD67" w14:textId="77777777" w:rsidR="00CB7716" w:rsidRPr="004657C0" w:rsidRDefault="00CB7716" w:rsidP="00614AF5">
      <w:pPr>
        <w:pStyle w:val="ListParagraph"/>
        <w:numPr>
          <w:ilvl w:val="0"/>
          <w:numId w:val="69"/>
        </w:numPr>
        <w:spacing w:after="240"/>
      </w:pPr>
      <w:r w:rsidRPr="004657C0">
        <w:lastRenderedPageBreak/>
        <w:t>retailers of RTE delicatessen products</w:t>
      </w:r>
      <w:r>
        <w:t>.</w:t>
      </w:r>
    </w:p>
    <w:p w14:paraId="0BFEF77A" w14:textId="77777777" w:rsidR="00CB7716" w:rsidRDefault="00CB7716" w:rsidP="004F36C6">
      <w:pPr>
        <w:spacing w:after="240"/>
        <w:rPr>
          <w:color w:val="00B050"/>
        </w:rPr>
      </w:pPr>
      <w:r>
        <w:t>The scope of P1053 includes these businesses, as well as other food service and related retail businesses with similar risks (i.e. handling unpackaged RTE PHF).</w:t>
      </w:r>
    </w:p>
    <w:p w14:paraId="4F68B97E" w14:textId="434052B8" w:rsidR="00CB7716" w:rsidRPr="004F36C6" w:rsidRDefault="00CB7716" w:rsidP="004F36C6">
      <w:pPr>
        <w:spacing w:after="240"/>
        <w:rPr>
          <w:b/>
        </w:rPr>
      </w:pPr>
      <w:bookmarkStart w:id="239" w:name="_Toc107412678"/>
      <w:r w:rsidRPr="004F36C6">
        <w:rPr>
          <w:b/>
        </w:rPr>
        <w:t>Characteristics of in-scope businesses</w:t>
      </w:r>
      <w:bookmarkEnd w:id="239"/>
    </w:p>
    <w:p w14:paraId="7FA0FD1F" w14:textId="00A7B6C6" w:rsidR="00CB7716" w:rsidRDefault="00CB7716" w:rsidP="004F36C6">
      <w:pPr>
        <w:spacing w:after="240"/>
      </w:pPr>
      <w:r>
        <w:t>Many food handling activities of f</w:t>
      </w:r>
      <w:r w:rsidRPr="00563957">
        <w:t xml:space="preserve">ood service and related retail food businesses </w:t>
      </w:r>
      <w:r>
        <w:t>are inherently risky because they involve</w:t>
      </w:r>
      <w:r w:rsidRPr="00563957">
        <w:t xml:space="preserve"> </w:t>
      </w:r>
      <w:r>
        <w:t xml:space="preserve">PHF. This </w:t>
      </w:r>
      <w:r w:rsidRPr="00563957">
        <w:t xml:space="preserve">food </w:t>
      </w:r>
      <w:r>
        <w:t>has</w:t>
      </w:r>
      <w:r w:rsidRPr="00563957">
        <w:t xml:space="preserve"> certain characteristics that support the growth of pathogenic microorganisms or the production of toxins that may cause foodborne illness. Examples of PHF include products containing </w:t>
      </w:r>
      <w:r>
        <w:t xml:space="preserve">raw </w:t>
      </w:r>
      <w:r w:rsidRPr="00563957">
        <w:t xml:space="preserve">eggs, poultry, meat, seafood, </w:t>
      </w:r>
      <w:r>
        <w:t>prepared fruits and vegetables</w:t>
      </w:r>
      <w:r w:rsidRPr="00563957">
        <w:t>, and cooked rice and pasta.</w:t>
      </w:r>
    </w:p>
    <w:p w14:paraId="5E1B931C" w14:textId="744ABA0A" w:rsidR="00CB7716" w:rsidRDefault="00CB7716" w:rsidP="004F36C6">
      <w:pPr>
        <w:spacing w:after="240"/>
      </w:pPr>
      <w:r w:rsidRPr="00563957">
        <w:t>Food service and related retail</w:t>
      </w:r>
      <w:r>
        <w:t>ers</w:t>
      </w:r>
      <w:r w:rsidRPr="00563957">
        <w:t xml:space="preserve"> provide consumers with PHF that will be either eaten raw or is ready to eat without further cooking—there is no further step before consumption that would destroy any pathogens present. These foods are high risk because of potential pathogen growth, especially if not immediately consumed. </w:t>
      </w:r>
      <w:r>
        <w:t>T</w:t>
      </w:r>
      <w:r w:rsidRPr="00563957">
        <w:t>hey require careful handling to avoid contamination. They must also be kept under stri</w:t>
      </w:r>
      <w:r>
        <w:t>ct</w:t>
      </w:r>
      <w:r w:rsidRPr="00563957">
        <w:t xml:space="preserve"> temperature control to minimise the growth of any pathogens that may already be present in the food, and to prevent formation of toxins. </w:t>
      </w:r>
    </w:p>
    <w:p w14:paraId="62E774F5" w14:textId="7EE0F665" w:rsidR="00CB7716" w:rsidRDefault="00CB7716" w:rsidP="004F36C6">
      <w:pPr>
        <w:spacing w:after="240"/>
      </w:pPr>
      <w:r w:rsidRPr="00097F03">
        <w:t xml:space="preserve">Under the Framework, </w:t>
      </w:r>
      <w:r w:rsidRPr="00320349">
        <w:t xml:space="preserve">food </w:t>
      </w:r>
      <w:r w:rsidRPr="00097F03">
        <w:t xml:space="preserve">businesses are characterised by the type of </w:t>
      </w:r>
      <w:r>
        <w:t xml:space="preserve">food handling </w:t>
      </w:r>
      <w:r w:rsidRPr="00097F03">
        <w:t xml:space="preserve">activities they engage in. </w:t>
      </w:r>
      <w:r>
        <w:t>The F</w:t>
      </w:r>
      <w:r w:rsidRPr="00320349">
        <w:t xml:space="preserve">ramework </w:t>
      </w:r>
      <w:r>
        <w:t>has</w:t>
      </w:r>
      <w:r w:rsidRPr="00320349">
        <w:t xml:space="preserve"> a series of decision trees intend</w:t>
      </w:r>
      <w:r>
        <w:t>ed</w:t>
      </w:r>
      <w:r w:rsidRPr="00320349">
        <w:t xml:space="preserve"> to identify whether </w:t>
      </w:r>
      <w:r>
        <w:t>a</w:t>
      </w:r>
      <w:r w:rsidRPr="00320349">
        <w:t xml:space="preserve"> business</w:t>
      </w:r>
      <w:r>
        <w:t>’s</w:t>
      </w:r>
      <w:r w:rsidRPr="00320349">
        <w:t xml:space="preserve"> </w:t>
      </w:r>
      <w:r>
        <w:t>food handling activities impact</w:t>
      </w:r>
      <w:r w:rsidRPr="00320349">
        <w:t xml:space="preserve"> the risk</w:t>
      </w:r>
      <w:r>
        <w:t xml:space="preserve"> </w:t>
      </w:r>
      <w:r w:rsidRPr="00320349">
        <w:t xml:space="preserve">of </w:t>
      </w:r>
      <w:r>
        <w:t xml:space="preserve">the </w:t>
      </w:r>
      <w:r w:rsidRPr="00320349">
        <w:t xml:space="preserve">food eaten by </w:t>
      </w:r>
      <w:r>
        <w:t>a</w:t>
      </w:r>
      <w:r w:rsidRPr="00320349">
        <w:t xml:space="preserve"> consumer. It also </w:t>
      </w:r>
      <w:r>
        <w:t>gauges</w:t>
      </w:r>
      <w:r w:rsidRPr="00320349">
        <w:t xml:space="preserve"> how critical that business sector’s contribution is to overall consumer safety. </w:t>
      </w:r>
    </w:p>
    <w:p w14:paraId="647EC866" w14:textId="04EAED57" w:rsidR="00CB7716" w:rsidRDefault="00CB7716" w:rsidP="004F36C6">
      <w:pPr>
        <w:spacing w:after="240"/>
      </w:pPr>
      <w:r>
        <w:t>W</w:t>
      </w:r>
      <w:r w:rsidRPr="00320349">
        <w:t>hether a business has or requires at least one critical control step</w:t>
      </w:r>
      <w:r>
        <w:t xml:space="preserve"> (</w:t>
      </w:r>
      <w:r w:rsidRPr="00320349">
        <w:t xml:space="preserve">in the sense used in </w:t>
      </w:r>
      <w:r w:rsidRPr="00A83AD8">
        <w:t xml:space="preserve">Hazard Analysis and Critical Control Point </w:t>
      </w:r>
      <w:r>
        <w:t>(</w:t>
      </w:r>
      <w:r w:rsidRPr="00320349">
        <w:t>HACCP</w:t>
      </w:r>
      <w:r w:rsidRPr="00320349">
        <w:rPr>
          <w:rStyle w:val="FootnoteReference"/>
        </w:rPr>
        <w:footnoteReference w:id="20"/>
      </w:r>
      <w:r>
        <w:t>) systems) also needs to be determined</w:t>
      </w:r>
      <w:r w:rsidRPr="00320349">
        <w:t xml:space="preserve">. </w:t>
      </w:r>
      <w:r>
        <w:rPr>
          <w:shd w:val="clear" w:color="auto" w:fill="FFFFFF"/>
        </w:rPr>
        <w:t xml:space="preserve">Critical controls ensure the food is as safe as practically possible. </w:t>
      </w:r>
      <w:r w:rsidRPr="00320349">
        <w:t>Classification is based on known risk-affecting factors</w:t>
      </w:r>
      <w:r>
        <w:t>,</w:t>
      </w:r>
      <w:r w:rsidRPr="00320349">
        <w:t xml:space="preserve"> including the need </w:t>
      </w:r>
      <w:r>
        <w:t>to</w:t>
      </w:r>
      <w:r w:rsidRPr="00320349">
        <w:t xml:space="preserve"> eliminat</w:t>
      </w:r>
      <w:r>
        <w:t>e</w:t>
      </w:r>
      <w:r w:rsidRPr="00320349">
        <w:t xml:space="preserve"> pathogens, potential for microbial (re)contamination and growth, potential for inadvertent introduction of physical or chemical hazards that will not be detected, and the size and health status of the population served.</w:t>
      </w:r>
    </w:p>
    <w:p w14:paraId="6EDAD262" w14:textId="77777777" w:rsidR="00CB7716" w:rsidRPr="00804228" w:rsidRDefault="00CB7716" w:rsidP="004F36C6">
      <w:pPr>
        <w:spacing w:after="240"/>
        <w:rPr>
          <w:rFonts w:cs="Arial"/>
        </w:rPr>
      </w:pPr>
      <w:r>
        <w:t>FSANZ considered</w:t>
      </w:r>
      <w:r w:rsidRPr="00FF40B0">
        <w:t xml:space="preserve"> </w:t>
      </w:r>
      <w:r>
        <w:t xml:space="preserve">characteristics </w:t>
      </w:r>
      <w:r w:rsidRPr="00FF40B0">
        <w:t xml:space="preserve">of </w:t>
      </w:r>
      <w:r>
        <w:t xml:space="preserve">food handling </w:t>
      </w:r>
      <w:r w:rsidRPr="00FF40B0">
        <w:t xml:space="preserve">activities </w:t>
      </w:r>
      <w:r>
        <w:t>typically</w:t>
      </w:r>
      <w:r w:rsidRPr="00FF40B0">
        <w:t xml:space="preserve"> undertaken by </w:t>
      </w:r>
      <w:r>
        <w:t>in-</w:t>
      </w:r>
      <w:r w:rsidRPr="0012232E">
        <w:t>scope business sectors</w:t>
      </w:r>
      <w:r>
        <w:t xml:space="preserve"> (FSANZ, 2022)</w:t>
      </w:r>
      <w:r w:rsidRPr="0012232E">
        <w:t>. We used details of previous classifications by Ross et al (2009</w:t>
      </w:r>
      <w:r w:rsidRPr="0012232E">
        <w:rPr>
          <w:rStyle w:val="FootnoteReference"/>
        </w:rPr>
        <w:footnoteReference w:id="21"/>
      </w:r>
      <w:r w:rsidRPr="0012232E">
        <w:t>).</w:t>
      </w:r>
      <w:r w:rsidRPr="004F198D">
        <w:t xml:space="preserve"> We</w:t>
      </w:r>
      <w:r w:rsidRPr="00FF40B0">
        <w:t xml:space="preserve"> assigned </w:t>
      </w:r>
      <w:r>
        <w:t>category</w:t>
      </w:r>
      <w:r w:rsidRPr="00FF40B0">
        <w:t xml:space="preserve"> </w:t>
      </w:r>
      <w:r>
        <w:t>levels and within each level included</w:t>
      </w:r>
      <w:r w:rsidRPr="00FF40B0">
        <w:t xml:space="preserve"> a common set of controls to mitigate the food safety risks of that level.</w:t>
      </w:r>
      <w:r>
        <w:t xml:space="preserve"> </w:t>
      </w:r>
      <w:r w:rsidRPr="00097F03">
        <w:rPr>
          <w:rFonts w:cs="Arial"/>
        </w:rPr>
        <w:t xml:space="preserve">The </w:t>
      </w:r>
      <w:r>
        <w:rPr>
          <w:rFonts w:cs="Arial"/>
        </w:rPr>
        <w:t>category</w:t>
      </w:r>
      <w:r w:rsidRPr="00097F03">
        <w:rPr>
          <w:rFonts w:cs="Arial"/>
        </w:rPr>
        <w:t xml:space="preserve"> levels are:</w:t>
      </w:r>
    </w:p>
    <w:p w14:paraId="5BC5F7EE" w14:textId="02302305" w:rsidR="00CB7716" w:rsidRPr="00097F03" w:rsidRDefault="00CB7716" w:rsidP="004F36C6">
      <w:pPr>
        <w:spacing w:after="240"/>
        <w:rPr>
          <w:b/>
          <w:u w:val="single"/>
          <w:shd w:val="clear" w:color="auto" w:fill="FFFFFF"/>
        </w:rPr>
      </w:pPr>
      <w:r>
        <w:rPr>
          <w:b/>
          <w:u w:val="single"/>
          <w:shd w:val="clear" w:color="auto" w:fill="FFFFFF"/>
        </w:rPr>
        <w:t>Category</w:t>
      </w:r>
      <w:r w:rsidRPr="00097F03">
        <w:rPr>
          <w:b/>
          <w:u w:val="single"/>
          <w:shd w:val="clear" w:color="auto" w:fill="FFFFFF"/>
        </w:rPr>
        <w:t xml:space="preserve"> 1</w:t>
      </w:r>
      <w:r>
        <w:rPr>
          <w:b/>
          <w:u w:val="single"/>
          <w:shd w:val="clear" w:color="auto" w:fill="FFFFFF"/>
        </w:rPr>
        <w:t>:</w:t>
      </w:r>
    </w:p>
    <w:p w14:paraId="54C548E4" w14:textId="77777777" w:rsidR="00CB7716" w:rsidRPr="00097F03" w:rsidRDefault="00CB7716" w:rsidP="004F36C6">
      <w:pPr>
        <w:spacing w:after="240"/>
        <w:rPr>
          <w:shd w:val="clear" w:color="auto" w:fill="FFFFFF"/>
        </w:rPr>
      </w:pPr>
      <w:r w:rsidRPr="00227DC2">
        <w:rPr>
          <w:i/>
          <w:shd w:val="clear" w:color="auto" w:fill="FFFFFF"/>
        </w:rPr>
        <w:t>Handling activity 1:</w:t>
      </w:r>
      <w:r>
        <w:rPr>
          <w:shd w:val="clear" w:color="auto" w:fill="FFFFFF"/>
        </w:rPr>
        <w:t xml:space="preserve"> process high-</w:t>
      </w:r>
      <w:r w:rsidRPr="00097F03">
        <w:rPr>
          <w:shd w:val="clear" w:color="auto" w:fill="FFFFFF"/>
        </w:rPr>
        <w:t xml:space="preserve">risk </w:t>
      </w:r>
      <w:r>
        <w:rPr>
          <w:shd w:val="clear" w:color="auto" w:fill="FFFFFF"/>
        </w:rPr>
        <w:t>PHF</w:t>
      </w:r>
      <w:r w:rsidRPr="00097F03">
        <w:rPr>
          <w:shd w:val="clear" w:color="auto" w:fill="FFFFFF"/>
        </w:rPr>
        <w:t xml:space="preserve"> in advance of serving </w:t>
      </w:r>
      <w:r>
        <w:rPr>
          <w:shd w:val="clear" w:color="auto" w:fill="FFFFFF"/>
        </w:rPr>
        <w:t>RTE</w:t>
      </w:r>
      <w:r w:rsidRPr="00097F03">
        <w:rPr>
          <w:shd w:val="clear" w:color="auto" w:fill="FFFFFF"/>
        </w:rPr>
        <w:t xml:space="preserve"> food to the consumer.</w:t>
      </w:r>
    </w:p>
    <w:p w14:paraId="2F8A2E18" w14:textId="77777777" w:rsidR="00CB7716" w:rsidRPr="00097F03" w:rsidRDefault="00CB7716" w:rsidP="004F36C6">
      <w:pPr>
        <w:spacing w:after="240"/>
        <w:rPr>
          <w:shd w:val="clear" w:color="auto" w:fill="FFFFFF"/>
        </w:rPr>
      </w:pPr>
      <w:r w:rsidRPr="00227DC2">
        <w:rPr>
          <w:i/>
          <w:shd w:val="clear" w:color="auto" w:fill="FFFFFF"/>
        </w:rPr>
        <w:t>Handling activity 2:</w:t>
      </w:r>
      <w:r>
        <w:rPr>
          <w:shd w:val="clear" w:color="auto" w:fill="FFFFFF"/>
        </w:rPr>
        <w:t xml:space="preserve"> process and serve high-</w:t>
      </w:r>
      <w:r w:rsidRPr="00097F03">
        <w:rPr>
          <w:shd w:val="clear" w:color="auto" w:fill="FFFFFF"/>
        </w:rPr>
        <w:t xml:space="preserve">risk </w:t>
      </w:r>
      <w:r>
        <w:rPr>
          <w:shd w:val="clear" w:color="auto" w:fill="FFFFFF"/>
        </w:rPr>
        <w:t>PHF</w:t>
      </w:r>
      <w:r w:rsidRPr="00097F03">
        <w:rPr>
          <w:shd w:val="clear" w:color="auto" w:fill="FFFFFF"/>
        </w:rPr>
        <w:t xml:space="preserve"> as </w:t>
      </w:r>
      <w:r>
        <w:rPr>
          <w:shd w:val="clear" w:color="auto" w:fill="FFFFFF"/>
        </w:rPr>
        <w:t>RTE</w:t>
      </w:r>
      <w:r w:rsidRPr="00097F03">
        <w:rPr>
          <w:shd w:val="clear" w:color="auto" w:fill="FFFFFF"/>
        </w:rPr>
        <w:t xml:space="preserve"> food to the consumer </w:t>
      </w:r>
      <w:r>
        <w:rPr>
          <w:shd w:val="clear" w:color="auto" w:fill="FFFFFF"/>
        </w:rPr>
        <w:t>with</w:t>
      </w:r>
      <w:r w:rsidRPr="00097F03">
        <w:rPr>
          <w:shd w:val="clear" w:color="auto" w:fill="FFFFFF"/>
        </w:rPr>
        <w:t xml:space="preserve">in a time period </w:t>
      </w:r>
      <w:r>
        <w:rPr>
          <w:shd w:val="clear" w:color="auto" w:fill="FFFFFF"/>
        </w:rPr>
        <w:t>that</w:t>
      </w:r>
      <w:r w:rsidRPr="00097F03">
        <w:rPr>
          <w:shd w:val="clear" w:color="auto" w:fill="FFFFFF"/>
        </w:rPr>
        <w:t xml:space="preserve"> does not adversely affect the micr</w:t>
      </w:r>
      <w:r>
        <w:rPr>
          <w:shd w:val="clear" w:color="auto" w:fill="FFFFFF"/>
        </w:rPr>
        <w:t>obiological safety of the food.</w:t>
      </w:r>
    </w:p>
    <w:p w14:paraId="63170B55" w14:textId="77777777" w:rsidR="00CB7716" w:rsidRPr="00097F03" w:rsidRDefault="00CB7716" w:rsidP="004F36C6">
      <w:pPr>
        <w:spacing w:after="240"/>
      </w:pPr>
      <w:r>
        <w:rPr>
          <w:shd w:val="clear" w:color="auto" w:fill="FFFFFF"/>
        </w:rPr>
        <w:t>F</w:t>
      </w:r>
      <w:r w:rsidRPr="00097F03">
        <w:t xml:space="preserve">ive controls are critical to </w:t>
      </w:r>
      <w:r>
        <w:t>ensuring food remains safe during these activities</w:t>
      </w:r>
      <w:r w:rsidRPr="00097F03">
        <w:t>:</w:t>
      </w:r>
    </w:p>
    <w:p w14:paraId="061ABA10" w14:textId="77777777" w:rsidR="00CB7716" w:rsidRPr="00097F03" w:rsidRDefault="00CB7716" w:rsidP="00614AF5">
      <w:pPr>
        <w:pStyle w:val="ListParagraph"/>
        <w:numPr>
          <w:ilvl w:val="0"/>
          <w:numId w:val="70"/>
        </w:numPr>
        <w:spacing w:after="240"/>
      </w:pPr>
      <w:r w:rsidRPr="00097F03">
        <w:t>storage of PHF at appropriate temperatures before processing</w:t>
      </w:r>
    </w:p>
    <w:p w14:paraId="4A60A6CB" w14:textId="77777777" w:rsidR="00CB7716" w:rsidRPr="00097F03" w:rsidRDefault="00CB7716" w:rsidP="00614AF5">
      <w:pPr>
        <w:pStyle w:val="ListParagraph"/>
        <w:numPr>
          <w:ilvl w:val="0"/>
          <w:numId w:val="70"/>
        </w:numPr>
        <w:spacing w:after="240"/>
      </w:pPr>
      <w:r>
        <w:t>a</w:t>
      </w:r>
      <w:r w:rsidRPr="00097F03">
        <w:t xml:space="preserve">dequate cooking or reheating </w:t>
      </w:r>
    </w:p>
    <w:p w14:paraId="78EB8F50" w14:textId="77777777" w:rsidR="00CB7716" w:rsidRPr="00097F03" w:rsidRDefault="00CB7716" w:rsidP="00614AF5">
      <w:pPr>
        <w:pStyle w:val="ListParagraph"/>
        <w:numPr>
          <w:ilvl w:val="0"/>
          <w:numId w:val="70"/>
        </w:numPr>
        <w:spacing w:after="240"/>
      </w:pPr>
      <w:r>
        <w:t>a</w:t>
      </w:r>
      <w:r w:rsidRPr="00097F03">
        <w:t xml:space="preserve">dequate cooling of cooked foods </w:t>
      </w:r>
    </w:p>
    <w:p w14:paraId="7FE5DA88" w14:textId="77777777" w:rsidR="00CB7716" w:rsidRPr="00097F03" w:rsidRDefault="00CB7716" w:rsidP="00614AF5">
      <w:pPr>
        <w:pStyle w:val="ListParagraph"/>
        <w:numPr>
          <w:ilvl w:val="0"/>
          <w:numId w:val="70"/>
        </w:numPr>
        <w:spacing w:after="240"/>
      </w:pPr>
      <w:r>
        <w:lastRenderedPageBreak/>
        <w:t>m</w:t>
      </w:r>
      <w:r w:rsidRPr="00097F03">
        <w:t xml:space="preserve">inimising cross-contamination and re-contamination </w:t>
      </w:r>
    </w:p>
    <w:p w14:paraId="2FFD97F5" w14:textId="77777777" w:rsidR="00CB7716" w:rsidRPr="00227DC2" w:rsidRDefault="00CB7716" w:rsidP="00614AF5">
      <w:pPr>
        <w:pStyle w:val="ListParagraph"/>
        <w:numPr>
          <w:ilvl w:val="0"/>
          <w:numId w:val="70"/>
        </w:numPr>
        <w:spacing w:after="240"/>
        <w:rPr>
          <w:shd w:val="clear" w:color="auto" w:fill="FFFFFF"/>
        </w:rPr>
      </w:pPr>
      <w:r w:rsidRPr="00097F03">
        <w:t xml:space="preserve">storage </w:t>
      </w:r>
      <w:r>
        <w:t xml:space="preserve">of processed </w:t>
      </w:r>
      <w:r w:rsidRPr="00097F03">
        <w:t>RTE food at appropriate temperatures before service to the consumer</w:t>
      </w:r>
      <w:r>
        <w:t>.</w:t>
      </w:r>
      <w:r w:rsidRPr="00097F03">
        <w:t xml:space="preserve"> </w:t>
      </w:r>
    </w:p>
    <w:p w14:paraId="2EBB51EB" w14:textId="77777777" w:rsidR="00CB7716" w:rsidRPr="00097F03" w:rsidRDefault="00CB7716" w:rsidP="004F36C6">
      <w:pPr>
        <w:spacing w:after="240"/>
        <w:rPr>
          <w:shd w:val="clear" w:color="auto" w:fill="FFFFFF"/>
        </w:rPr>
      </w:pPr>
      <w:r>
        <w:rPr>
          <w:shd w:val="clear" w:color="auto" w:fill="FFFFFF"/>
        </w:rPr>
        <w:t xml:space="preserve">Cooking should eliminate pathogens in the food. Other controls should prevent introduction of pathogens to the food and prevent (or minimise) bacterial growth and toxin production. </w:t>
      </w:r>
    </w:p>
    <w:p w14:paraId="63427BE3" w14:textId="5F5258C2" w:rsidR="00CB7716" w:rsidRPr="00097F03" w:rsidRDefault="00CB7716" w:rsidP="004F36C6">
      <w:pPr>
        <w:spacing w:after="240"/>
        <w:rPr>
          <w:b/>
          <w:u w:val="single"/>
          <w:shd w:val="clear" w:color="auto" w:fill="FFFFFF"/>
        </w:rPr>
      </w:pPr>
      <w:r>
        <w:rPr>
          <w:b/>
          <w:u w:val="single"/>
          <w:shd w:val="clear" w:color="auto" w:fill="FFFFFF"/>
        </w:rPr>
        <w:t>Category</w:t>
      </w:r>
      <w:r w:rsidRPr="00097F03">
        <w:rPr>
          <w:b/>
          <w:u w:val="single"/>
          <w:shd w:val="clear" w:color="auto" w:fill="FFFFFF"/>
        </w:rPr>
        <w:t xml:space="preserve"> 2</w:t>
      </w:r>
      <w:r>
        <w:rPr>
          <w:b/>
          <w:u w:val="single"/>
          <w:shd w:val="clear" w:color="auto" w:fill="FFFFFF"/>
        </w:rPr>
        <w:t>:</w:t>
      </w:r>
    </w:p>
    <w:p w14:paraId="0897934D" w14:textId="77777777" w:rsidR="00CB7716" w:rsidRPr="00DA7FDA" w:rsidRDefault="00CB7716" w:rsidP="004F36C6">
      <w:pPr>
        <w:spacing w:after="240"/>
        <w:rPr>
          <w:iCs/>
          <w:lang w:val="en-AU"/>
        </w:rPr>
      </w:pPr>
      <w:r w:rsidRPr="00227DC2">
        <w:rPr>
          <w:i/>
        </w:rPr>
        <w:t>Handling</w:t>
      </w:r>
      <w:r w:rsidRPr="00227DC2">
        <w:rPr>
          <w:i/>
          <w:iCs/>
          <w:lang w:val="en-AU"/>
        </w:rPr>
        <w:t xml:space="preserve"> activity 3:</w:t>
      </w:r>
      <w:r>
        <w:rPr>
          <w:iCs/>
          <w:lang w:val="en-AU"/>
        </w:rPr>
        <w:t xml:space="preserve"> serve unpackaged high-</w:t>
      </w:r>
      <w:r w:rsidRPr="00097F03">
        <w:rPr>
          <w:iCs/>
          <w:lang w:val="en-AU"/>
        </w:rPr>
        <w:t xml:space="preserve">risk </w:t>
      </w:r>
      <w:r>
        <w:rPr>
          <w:iCs/>
          <w:lang w:val="en-AU"/>
        </w:rPr>
        <w:t>PHF</w:t>
      </w:r>
      <w:r w:rsidRPr="00097F03">
        <w:rPr>
          <w:iCs/>
          <w:lang w:val="en-AU"/>
        </w:rPr>
        <w:t xml:space="preserve"> as </w:t>
      </w:r>
      <w:r>
        <w:rPr>
          <w:iCs/>
          <w:lang w:val="en-AU"/>
        </w:rPr>
        <w:t>RTE</w:t>
      </w:r>
      <w:r w:rsidRPr="00097F03">
        <w:rPr>
          <w:iCs/>
          <w:lang w:val="en-AU"/>
        </w:rPr>
        <w:t xml:space="preserve"> food for retail</w:t>
      </w:r>
      <w:r>
        <w:rPr>
          <w:iCs/>
          <w:lang w:val="en-AU"/>
        </w:rPr>
        <w:t xml:space="preserve"> sale</w:t>
      </w:r>
      <w:r w:rsidRPr="00097F03">
        <w:rPr>
          <w:iCs/>
          <w:lang w:val="en-AU"/>
        </w:rPr>
        <w:t>.</w:t>
      </w:r>
    </w:p>
    <w:p w14:paraId="39FAB0AA" w14:textId="77777777" w:rsidR="00CB7716" w:rsidRPr="00097F03" w:rsidRDefault="00CB7716" w:rsidP="004F36C6">
      <w:pPr>
        <w:spacing w:after="240"/>
      </w:pPr>
      <w:r>
        <w:rPr>
          <w:shd w:val="clear" w:color="auto" w:fill="FFFFFF"/>
        </w:rPr>
        <w:t>T</w:t>
      </w:r>
      <w:r w:rsidRPr="00097F03">
        <w:rPr>
          <w:shd w:val="clear" w:color="auto" w:fill="FFFFFF"/>
        </w:rPr>
        <w:t xml:space="preserve">wo </w:t>
      </w:r>
      <w:r w:rsidRPr="00097F03">
        <w:t xml:space="preserve">controls are critical to </w:t>
      </w:r>
      <w:r>
        <w:t>ensuring</w:t>
      </w:r>
      <w:r w:rsidRPr="00097F03">
        <w:t xml:space="preserve"> food</w:t>
      </w:r>
      <w:r>
        <w:t xml:space="preserve"> remains safe during this activity</w:t>
      </w:r>
      <w:r w:rsidRPr="00097F03">
        <w:t>:</w:t>
      </w:r>
    </w:p>
    <w:p w14:paraId="61582C5E" w14:textId="77777777" w:rsidR="00CB7716" w:rsidRPr="00227DC2" w:rsidRDefault="00CB7716" w:rsidP="00614AF5">
      <w:pPr>
        <w:pStyle w:val="ListParagraph"/>
        <w:numPr>
          <w:ilvl w:val="0"/>
          <w:numId w:val="71"/>
        </w:numPr>
        <w:spacing w:after="240"/>
        <w:rPr>
          <w:shd w:val="clear" w:color="auto" w:fill="FFFFFF"/>
        </w:rPr>
      </w:pPr>
      <w:r w:rsidRPr="00097F03">
        <w:t xml:space="preserve">storage of PHF at appropriate temperatures </w:t>
      </w:r>
    </w:p>
    <w:p w14:paraId="0EAAFE59" w14:textId="77777777" w:rsidR="00CB7716" w:rsidRPr="00097F03" w:rsidRDefault="00CB7716" w:rsidP="00614AF5">
      <w:pPr>
        <w:pStyle w:val="ListParagraph"/>
        <w:numPr>
          <w:ilvl w:val="0"/>
          <w:numId w:val="71"/>
        </w:numPr>
        <w:spacing w:after="240"/>
      </w:pPr>
      <w:r>
        <w:t>m</w:t>
      </w:r>
      <w:r w:rsidRPr="00097F03">
        <w:t>inimising cross-contamination and re-contamination</w:t>
      </w:r>
      <w:r>
        <w:t>.</w:t>
      </w:r>
      <w:r w:rsidRPr="00097F03">
        <w:t xml:space="preserve"> </w:t>
      </w:r>
    </w:p>
    <w:p w14:paraId="50EC5AE5" w14:textId="77777777" w:rsidR="00CB7716" w:rsidRPr="00097F03" w:rsidRDefault="00CB7716" w:rsidP="004F36C6">
      <w:pPr>
        <w:spacing w:after="240"/>
        <w:rPr>
          <w:b/>
          <w:u w:val="single"/>
          <w:shd w:val="clear" w:color="auto" w:fill="FFFFFF"/>
        </w:rPr>
      </w:pPr>
      <w:r>
        <w:rPr>
          <w:b/>
          <w:u w:val="single"/>
          <w:shd w:val="clear" w:color="auto" w:fill="FFFFFF"/>
        </w:rPr>
        <w:t>Category</w:t>
      </w:r>
      <w:r w:rsidRPr="00097F03">
        <w:rPr>
          <w:b/>
          <w:u w:val="single"/>
          <w:shd w:val="clear" w:color="auto" w:fill="FFFFFF"/>
        </w:rPr>
        <w:t xml:space="preserve"> 3:</w:t>
      </w:r>
    </w:p>
    <w:p w14:paraId="1667F6BC" w14:textId="77777777" w:rsidR="00CB7716" w:rsidRPr="00DA7FDA" w:rsidRDefault="00CB7716" w:rsidP="004F36C6">
      <w:pPr>
        <w:spacing w:after="240"/>
        <w:rPr>
          <w:shd w:val="clear" w:color="auto" w:fill="FFFFFF"/>
        </w:rPr>
      </w:pPr>
      <w:r w:rsidRPr="00227DC2">
        <w:rPr>
          <w:i/>
          <w:lang w:val="en-AU"/>
        </w:rPr>
        <w:t>Handling activity 4:</w:t>
      </w:r>
      <w:r w:rsidRPr="00097F03">
        <w:rPr>
          <w:lang w:val="en-AU"/>
        </w:rPr>
        <w:t xml:space="preserve"> serve packaged high</w:t>
      </w:r>
      <w:r>
        <w:rPr>
          <w:lang w:val="en-AU"/>
        </w:rPr>
        <w:t>-</w:t>
      </w:r>
      <w:r w:rsidRPr="00097F03">
        <w:rPr>
          <w:lang w:val="en-AU"/>
        </w:rPr>
        <w:t xml:space="preserve">risk </w:t>
      </w:r>
      <w:r>
        <w:rPr>
          <w:lang w:val="en-AU"/>
        </w:rPr>
        <w:t>PHF</w:t>
      </w:r>
      <w:r w:rsidRPr="00097F03">
        <w:rPr>
          <w:lang w:val="en-AU"/>
        </w:rPr>
        <w:t xml:space="preserve"> as </w:t>
      </w:r>
      <w:r>
        <w:rPr>
          <w:lang w:val="en-AU"/>
        </w:rPr>
        <w:t>RTE</w:t>
      </w:r>
      <w:r w:rsidRPr="00097F03">
        <w:rPr>
          <w:lang w:val="en-AU"/>
        </w:rPr>
        <w:t xml:space="preserve"> food. The food is packaged prior to receipt by the food business for retail </w:t>
      </w:r>
      <w:r>
        <w:rPr>
          <w:lang w:val="en-AU"/>
        </w:rPr>
        <w:t xml:space="preserve">sale </w:t>
      </w:r>
      <w:r w:rsidRPr="00097F03">
        <w:rPr>
          <w:lang w:val="en-AU"/>
        </w:rPr>
        <w:t xml:space="preserve">and sold to the consumer </w:t>
      </w:r>
      <w:r>
        <w:rPr>
          <w:lang w:val="en-AU"/>
        </w:rPr>
        <w:t>in its packaging</w:t>
      </w:r>
      <w:r w:rsidRPr="00097F03">
        <w:rPr>
          <w:lang w:val="en-AU"/>
        </w:rPr>
        <w:t xml:space="preserve">. </w:t>
      </w:r>
    </w:p>
    <w:p w14:paraId="2D714139" w14:textId="77777777" w:rsidR="00CB7716" w:rsidRPr="00097F03" w:rsidRDefault="00CB7716" w:rsidP="004F36C6">
      <w:pPr>
        <w:spacing w:after="240"/>
      </w:pPr>
      <w:r>
        <w:rPr>
          <w:shd w:val="clear" w:color="auto" w:fill="FFFFFF"/>
        </w:rPr>
        <w:t>O</w:t>
      </w:r>
      <w:r w:rsidRPr="00097F03">
        <w:rPr>
          <w:shd w:val="clear" w:color="auto" w:fill="FFFFFF"/>
        </w:rPr>
        <w:t xml:space="preserve">ne </w:t>
      </w:r>
      <w:r w:rsidRPr="00097F03">
        <w:t>control is required for the safety of food</w:t>
      </w:r>
      <w:r>
        <w:t xml:space="preserve"> during this activity</w:t>
      </w:r>
      <w:r w:rsidRPr="00097F03">
        <w:t>:</w:t>
      </w:r>
    </w:p>
    <w:p w14:paraId="6CDFE0A6" w14:textId="77777777" w:rsidR="00CB7716" w:rsidRPr="00227DC2" w:rsidRDefault="00CB7716" w:rsidP="00614AF5">
      <w:pPr>
        <w:pStyle w:val="ListParagraph"/>
        <w:numPr>
          <w:ilvl w:val="0"/>
          <w:numId w:val="72"/>
        </w:numPr>
        <w:spacing w:after="240"/>
        <w:rPr>
          <w:shd w:val="clear" w:color="auto" w:fill="FFFFFF"/>
        </w:rPr>
      </w:pPr>
      <w:r w:rsidRPr="00097F03">
        <w:t>storage of PHF at appropriate temperatures.</w:t>
      </w:r>
    </w:p>
    <w:p w14:paraId="63BA424E" w14:textId="14631179" w:rsidR="00CB7716" w:rsidRDefault="00CB7716" w:rsidP="004F36C6">
      <w:pPr>
        <w:spacing w:after="240"/>
      </w:pPr>
      <w:r>
        <w:t>Each of these categories has been considered individually to assess if a net benefit is likely to be achieved when applying the options identified.</w:t>
      </w:r>
    </w:p>
    <w:p w14:paraId="7B8E89DE" w14:textId="44EC5E8B" w:rsidR="00CB7716" w:rsidRDefault="00CB7716" w:rsidP="006D619E">
      <w:pPr>
        <w:pStyle w:val="Heading3"/>
        <w:numPr>
          <w:ilvl w:val="0"/>
          <w:numId w:val="0"/>
        </w:numPr>
        <w:ind w:left="720" w:hanging="720"/>
      </w:pPr>
      <w:bookmarkStart w:id="240" w:name="_1.3_Current_status"/>
      <w:bookmarkStart w:id="241" w:name="_Toc104808598"/>
      <w:bookmarkStart w:id="242" w:name="_Toc107412679"/>
      <w:bookmarkStart w:id="243" w:name="_Toc109300443"/>
      <w:bookmarkEnd w:id="240"/>
      <w:r>
        <w:t>1.3</w:t>
      </w:r>
      <w:r>
        <w:tab/>
        <w:t>Current status of food safety management</w:t>
      </w:r>
      <w:bookmarkEnd w:id="241"/>
      <w:bookmarkEnd w:id="242"/>
      <w:bookmarkEnd w:id="243"/>
    </w:p>
    <w:p w14:paraId="264BFA31" w14:textId="13DD379C" w:rsidR="00CB7716" w:rsidRDefault="00CB7716" w:rsidP="00227DC2">
      <w:pPr>
        <w:spacing w:after="240"/>
      </w:pPr>
      <w:r w:rsidRPr="004657C0">
        <w:t>In Australia, state and territory food regulators use a wide range of food safety management tools aimed at reducing foodborne illness. Tools can be regulatory or non-regulatory and include legislation, guidance material, education and training. Tools are used to varying degrees in different jurisdictions</w:t>
      </w:r>
      <w:r>
        <w:t>,</w:t>
      </w:r>
      <w:r w:rsidRPr="004657C0">
        <w:t xml:space="preserve"> to require or encourage food businesses to manage their food safety risks and strengthen their food safety culture. </w:t>
      </w:r>
    </w:p>
    <w:p w14:paraId="4BC9FD0C" w14:textId="5202B562" w:rsidR="00CB7716" w:rsidRDefault="00CB7716" w:rsidP="00227DC2">
      <w:pPr>
        <w:spacing w:after="240"/>
      </w:pPr>
      <w:r w:rsidRPr="004657C0">
        <w:t xml:space="preserve">Food safety </w:t>
      </w:r>
      <w:r>
        <w:t xml:space="preserve">requirements are contained </w:t>
      </w:r>
      <w:r w:rsidRPr="004657C0">
        <w:t>in several standards in the Code</w:t>
      </w:r>
      <w:r>
        <w:t>, particularly</w:t>
      </w:r>
      <w:r w:rsidRPr="004657C0">
        <w:t xml:space="preserve"> </w:t>
      </w:r>
      <w:r>
        <w:t>the food safety s</w:t>
      </w:r>
      <w:r w:rsidRPr="004657C0">
        <w:t xml:space="preserve">tandards of Chapter 3. </w:t>
      </w:r>
      <w:r>
        <w:t>This c</w:t>
      </w:r>
      <w:r w:rsidRPr="004657C0">
        <w:t xml:space="preserve">hapter provides </w:t>
      </w:r>
      <w:r>
        <w:t>general food handling controls that all food business must follow</w:t>
      </w:r>
      <w:r w:rsidRPr="004657C0">
        <w:t xml:space="preserve"> to ensure </w:t>
      </w:r>
      <w:r>
        <w:t xml:space="preserve">only </w:t>
      </w:r>
      <w:r w:rsidRPr="004657C0">
        <w:t>safe and suitable food</w:t>
      </w:r>
      <w:r>
        <w:t xml:space="preserve"> is produced and sold</w:t>
      </w:r>
      <w:r w:rsidRPr="004657C0">
        <w:t>. In particular, Standard 3.2.2 outlines base-level food safety requirements for each step of the food handling process: food receipt, storage, processing, display, packaging, transport, disposal and food recall. Other requirements relate to skills and knowledge of food handlers and their supervisors</w:t>
      </w:r>
      <w:r>
        <w:t>;</w:t>
      </w:r>
      <w:r w:rsidRPr="004657C0">
        <w:t xml:space="preserve"> food handler health and hygiene</w:t>
      </w:r>
      <w:r>
        <w:t>;</w:t>
      </w:r>
      <w:r w:rsidRPr="004657C0">
        <w:t xml:space="preserve"> and cleaning, sanitising and maintenance of </w:t>
      </w:r>
      <w:r>
        <w:t xml:space="preserve">premises and </w:t>
      </w:r>
      <w:r w:rsidRPr="004657C0">
        <w:t>equipment.</w:t>
      </w:r>
    </w:p>
    <w:p w14:paraId="1EFD87A2" w14:textId="413EDE4F" w:rsidR="00CB7716" w:rsidRDefault="00CB7716" w:rsidP="00227DC2">
      <w:pPr>
        <w:spacing w:after="240"/>
      </w:pPr>
      <w:r w:rsidRPr="004657C0">
        <w:t>A complementary gui</w:t>
      </w:r>
      <w:r>
        <w:t>de to the food safety s</w:t>
      </w:r>
      <w:r w:rsidRPr="004657C0">
        <w:t xml:space="preserve">tandards, </w:t>
      </w:r>
      <w:r w:rsidRPr="48861835">
        <w:rPr>
          <w:i/>
        </w:rPr>
        <w:t>Safe Food Australia</w:t>
      </w:r>
      <w:r>
        <w:rPr>
          <w:i/>
        </w:rPr>
        <w:t xml:space="preserve"> </w:t>
      </w:r>
      <w:r w:rsidRPr="00BA1B61">
        <w:t>(FSANZ, 2016)</w:t>
      </w:r>
      <w:r w:rsidRPr="004657C0">
        <w:t xml:space="preserve">, provides information for food regulators and businesses on how the requirements may be met. </w:t>
      </w:r>
    </w:p>
    <w:p w14:paraId="7F491642" w14:textId="6412E84E" w:rsidR="00CB7716" w:rsidRDefault="00CB7716" w:rsidP="00227DC2">
      <w:pPr>
        <w:spacing w:after="240"/>
      </w:pPr>
      <w:r>
        <w:t xml:space="preserve">Standards in the Code are adopted into legislation through state and territory food acts. </w:t>
      </w:r>
      <w:r w:rsidRPr="004657C0">
        <w:t xml:space="preserve">In addition to </w:t>
      </w:r>
      <w:r>
        <w:t>the s</w:t>
      </w:r>
      <w:r w:rsidRPr="004657C0">
        <w:t>tandards, several jurisdictions have i</w:t>
      </w:r>
      <w:r>
        <w:t>ncorporated</w:t>
      </w:r>
      <w:r w:rsidRPr="004657C0">
        <w:t xml:space="preserve"> extra </w:t>
      </w:r>
      <w:r w:rsidRPr="004657C0">
        <w:rPr>
          <w:lang w:eastAsia="en-AU"/>
        </w:rPr>
        <w:t>food safety requirements in</w:t>
      </w:r>
      <w:r>
        <w:rPr>
          <w:lang w:eastAsia="en-AU"/>
        </w:rPr>
        <w:t>to</w:t>
      </w:r>
      <w:r w:rsidRPr="004657C0">
        <w:rPr>
          <w:lang w:eastAsia="en-AU"/>
        </w:rPr>
        <w:t xml:space="preserve"> their </w:t>
      </w:r>
      <w:r>
        <w:rPr>
          <w:lang w:eastAsia="en-AU"/>
        </w:rPr>
        <w:t>f</w:t>
      </w:r>
      <w:r w:rsidRPr="004657C0">
        <w:rPr>
          <w:lang w:eastAsia="en-AU"/>
        </w:rPr>
        <w:t xml:space="preserve">ood </w:t>
      </w:r>
      <w:r>
        <w:rPr>
          <w:lang w:eastAsia="en-AU"/>
        </w:rPr>
        <w:t>a</w:t>
      </w:r>
      <w:r w:rsidRPr="004657C0">
        <w:rPr>
          <w:lang w:eastAsia="en-AU"/>
        </w:rPr>
        <w:t xml:space="preserve">cts </w:t>
      </w:r>
      <w:r w:rsidRPr="004657C0">
        <w:t>to manage risks associated with the food service and retail sectors. Four jurisdictions (Victoria, N</w:t>
      </w:r>
      <w:r>
        <w:t xml:space="preserve">ew </w:t>
      </w:r>
      <w:r w:rsidRPr="004657C0">
        <w:t>S</w:t>
      </w:r>
      <w:r>
        <w:t xml:space="preserve">outh </w:t>
      </w:r>
      <w:r w:rsidRPr="004657C0">
        <w:t>W</w:t>
      </w:r>
      <w:r>
        <w:t>ales</w:t>
      </w:r>
      <w:r w:rsidRPr="004657C0">
        <w:t xml:space="preserve">, Queensland and ACT) have requirements for </w:t>
      </w:r>
      <w:r>
        <w:t>FSS</w:t>
      </w:r>
      <w:r w:rsidRPr="004657C0">
        <w:t xml:space="preserve"> with competency-based training. Victoria and Queensland also have template-based food safety programs, which include</w:t>
      </w:r>
      <w:r>
        <w:rPr>
          <w:lang w:val="en-AU"/>
        </w:rPr>
        <w:t xml:space="preserve"> record </w:t>
      </w:r>
      <w:r w:rsidRPr="004657C0">
        <w:rPr>
          <w:lang w:val="en-AU"/>
        </w:rPr>
        <w:t xml:space="preserve">keeping requirements for </w:t>
      </w:r>
      <w:r w:rsidRPr="004657C0">
        <w:t xml:space="preserve">key </w:t>
      </w:r>
      <w:r w:rsidRPr="004657C0">
        <w:lastRenderedPageBreak/>
        <w:t xml:space="preserve">activities. </w:t>
      </w:r>
      <w:r>
        <w:t>Record keeping may be one way a business might keep evidence that key processes are managed.</w:t>
      </w:r>
    </w:p>
    <w:p w14:paraId="31E7DBF6" w14:textId="77777777" w:rsidR="00CB7716" w:rsidRPr="004657C0" w:rsidRDefault="00CB7716" w:rsidP="00227DC2">
      <w:pPr>
        <w:spacing w:after="240"/>
      </w:pPr>
      <w:r w:rsidRPr="004657C0">
        <w:t>There are differences in how these extra requirements are implemented in each jurisdiction, including the business classifications used and attainment and duration of qualifications</w:t>
      </w:r>
      <w:r>
        <w:t xml:space="preserve">. </w:t>
      </w:r>
    </w:p>
    <w:p w14:paraId="26EE3B1E" w14:textId="7765916D" w:rsidR="00CB7716" w:rsidRDefault="00CB7716" w:rsidP="00227DC2">
      <w:pPr>
        <w:spacing w:after="240"/>
      </w:pPr>
      <w:r>
        <w:t xml:space="preserve">The nationally agreed Framework has been adopted for use in some Australian jurisdictions, while other jurisdictions use an alternative classification system. The different approaches across Australian jurisdictions are summarised in Table 1. </w:t>
      </w:r>
    </w:p>
    <w:p w14:paraId="1C5EC412" w14:textId="77777777" w:rsidR="00CB7716" w:rsidRPr="006B6E19" w:rsidRDefault="00CB7716" w:rsidP="00CB7716">
      <w:pPr>
        <w:pStyle w:val="Caption"/>
        <w:keepNext/>
        <w:rPr>
          <w:b/>
          <w:color w:val="auto"/>
          <w:sz w:val="20"/>
        </w:rPr>
      </w:pPr>
      <w:r w:rsidRPr="006B6E19">
        <w:rPr>
          <w:b/>
          <w:color w:val="auto"/>
          <w:sz w:val="20"/>
        </w:rPr>
        <w:t xml:space="preserve">Table </w:t>
      </w:r>
      <w:r w:rsidRPr="006B6E19">
        <w:rPr>
          <w:b/>
          <w:color w:val="auto"/>
          <w:sz w:val="20"/>
        </w:rPr>
        <w:fldChar w:fldCharType="begin"/>
      </w:r>
      <w:r w:rsidRPr="006B6E19">
        <w:rPr>
          <w:b/>
          <w:color w:val="auto"/>
          <w:sz w:val="20"/>
        </w:rPr>
        <w:instrText xml:space="preserve"> SEQ Table \* ARABIC </w:instrText>
      </w:r>
      <w:r w:rsidRPr="006B6E19">
        <w:rPr>
          <w:b/>
          <w:color w:val="auto"/>
          <w:sz w:val="20"/>
        </w:rPr>
        <w:fldChar w:fldCharType="separate"/>
      </w:r>
      <w:r>
        <w:rPr>
          <w:b/>
          <w:noProof/>
          <w:color w:val="auto"/>
          <w:sz w:val="20"/>
        </w:rPr>
        <w:t>1</w:t>
      </w:r>
      <w:r w:rsidRPr="006B6E19">
        <w:rPr>
          <w:b/>
          <w:color w:val="auto"/>
          <w:sz w:val="20"/>
        </w:rPr>
        <w:fldChar w:fldCharType="end"/>
      </w:r>
      <w:r w:rsidRPr="006B6E19">
        <w:rPr>
          <w:b/>
          <w:color w:val="auto"/>
          <w:sz w:val="20"/>
        </w:rPr>
        <w:t>: Summary of risk classification systems used in each Australian jurisdiction</w:t>
      </w:r>
    </w:p>
    <w:tbl>
      <w:tblPr>
        <w:tblStyle w:val="TableClassic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336"/>
      </w:tblGrid>
      <w:tr w:rsidR="00CB7716" w14:paraId="4B3E705B" w14:textId="77777777" w:rsidTr="006E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7A9495AA" w14:textId="77777777" w:rsidR="00CB7716" w:rsidRPr="00174656" w:rsidRDefault="00CB7716" w:rsidP="00CB7716">
            <w:pPr>
              <w:spacing w:after="85"/>
              <w:rPr>
                <w:b/>
                <w:sz w:val="20"/>
                <w:szCs w:val="20"/>
              </w:rPr>
            </w:pPr>
            <w:r w:rsidRPr="00174656">
              <w:rPr>
                <w:b/>
                <w:sz w:val="20"/>
                <w:szCs w:val="20"/>
              </w:rPr>
              <w:t>Jurisdiction</w:t>
            </w:r>
          </w:p>
        </w:tc>
        <w:tc>
          <w:tcPr>
            <w:tcW w:w="6336" w:type="dxa"/>
          </w:tcPr>
          <w:p w14:paraId="313EA4A1" w14:textId="77777777" w:rsidR="00CB7716" w:rsidRPr="00174656" w:rsidRDefault="00CB7716" w:rsidP="00CB7716">
            <w:pPr>
              <w:spacing w:after="85"/>
              <w:cnfStyle w:val="100000000000" w:firstRow="1" w:lastRow="0" w:firstColumn="0" w:lastColumn="0" w:oddVBand="0" w:evenVBand="0" w:oddHBand="0" w:evenHBand="0" w:firstRowFirstColumn="0" w:firstRowLastColumn="0" w:lastRowFirstColumn="0" w:lastRowLastColumn="0"/>
              <w:rPr>
                <w:b/>
                <w:sz w:val="20"/>
                <w:szCs w:val="20"/>
              </w:rPr>
            </w:pPr>
            <w:r w:rsidRPr="00174656">
              <w:rPr>
                <w:b/>
                <w:sz w:val="20"/>
                <w:szCs w:val="20"/>
              </w:rPr>
              <w:t>Risk classification system used</w:t>
            </w:r>
          </w:p>
        </w:tc>
      </w:tr>
      <w:tr w:rsidR="00CB7716" w14:paraId="45965222"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356931EB" w14:textId="77777777" w:rsidR="00CB7716" w:rsidRPr="006E77ED" w:rsidRDefault="00CB7716" w:rsidP="00CB7716">
            <w:pPr>
              <w:spacing w:after="85"/>
              <w:rPr>
                <w:b/>
                <w:sz w:val="20"/>
                <w:szCs w:val="20"/>
              </w:rPr>
            </w:pPr>
            <w:r w:rsidRPr="006E77ED">
              <w:rPr>
                <w:b/>
                <w:sz w:val="20"/>
                <w:szCs w:val="20"/>
              </w:rPr>
              <w:t>Australian Capital Territory</w:t>
            </w:r>
          </w:p>
        </w:tc>
        <w:tc>
          <w:tcPr>
            <w:tcW w:w="6336" w:type="dxa"/>
          </w:tcPr>
          <w:p w14:paraId="1FACDC90"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Currently uses ANZFA* priority classification system for food businesses (low, medium, high)</w:t>
            </w:r>
            <w:r>
              <w:rPr>
                <w:rStyle w:val="FootnoteReference"/>
                <w:sz w:val="20"/>
                <w:szCs w:val="20"/>
              </w:rPr>
              <w:footnoteReference w:id="22"/>
            </w:r>
            <w:r>
              <w:rPr>
                <w:sz w:val="20"/>
                <w:szCs w:val="20"/>
              </w:rPr>
              <w:t xml:space="preserve">. </w:t>
            </w:r>
          </w:p>
        </w:tc>
      </w:tr>
      <w:tr w:rsidR="00CB7716" w14:paraId="69CAF0AA"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32D9C9AE" w14:textId="77777777" w:rsidR="00CB7716" w:rsidRPr="006E77ED" w:rsidRDefault="00CB7716" w:rsidP="00CB7716">
            <w:pPr>
              <w:spacing w:after="85"/>
              <w:rPr>
                <w:b/>
                <w:sz w:val="20"/>
                <w:szCs w:val="20"/>
              </w:rPr>
            </w:pPr>
            <w:r w:rsidRPr="006E77ED">
              <w:rPr>
                <w:b/>
                <w:sz w:val="20"/>
                <w:szCs w:val="20"/>
              </w:rPr>
              <w:t>New South Wales</w:t>
            </w:r>
          </w:p>
        </w:tc>
        <w:tc>
          <w:tcPr>
            <w:tcW w:w="6336" w:type="dxa"/>
          </w:tcPr>
          <w:p w14:paraId="681ADE31"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 xml:space="preserve">Adopted the nationally agreed risk profiling framework. </w:t>
            </w:r>
          </w:p>
        </w:tc>
      </w:tr>
      <w:tr w:rsidR="00CB7716" w14:paraId="19583588"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297F950F" w14:textId="77777777" w:rsidR="00CB7716" w:rsidRPr="006E77ED" w:rsidRDefault="00CB7716" w:rsidP="00CB7716">
            <w:pPr>
              <w:spacing w:after="85"/>
              <w:rPr>
                <w:b/>
                <w:sz w:val="20"/>
                <w:szCs w:val="20"/>
              </w:rPr>
            </w:pPr>
            <w:r w:rsidRPr="006E77ED">
              <w:rPr>
                <w:b/>
                <w:sz w:val="20"/>
                <w:szCs w:val="20"/>
              </w:rPr>
              <w:t>Northern Territory</w:t>
            </w:r>
          </w:p>
        </w:tc>
        <w:tc>
          <w:tcPr>
            <w:tcW w:w="6336" w:type="dxa"/>
          </w:tcPr>
          <w:p w14:paraId="1E861820" w14:textId="77777777" w:rsidR="00CB771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Adopted the nationally agreed risk profiling framework.</w:t>
            </w:r>
          </w:p>
        </w:tc>
      </w:tr>
      <w:tr w:rsidR="00CB7716" w14:paraId="1D1E0ADA"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680A54D5" w14:textId="77777777" w:rsidR="00CB7716" w:rsidRPr="006E77ED" w:rsidRDefault="00CB7716" w:rsidP="00CB7716">
            <w:pPr>
              <w:spacing w:after="85"/>
              <w:rPr>
                <w:b/>
                <w:sz w:val="20"/>
                <w:szCs w:val="20"/>
              </w:rPr>
            </w:pPr>
            <w:r w:rsidRPr="006E77ED">
              <w:rPr>
                <w:b/>
                <w:sz w:val="20"/>
                <w:szCs w:val="20"/>
              </w:rPr>
              <w:t>Queensland</w:t>
            </w:r>
          </w:p>
        </w:tc>
        <w:tc>
          <w:tcPr>
            <w:tcW w:w="6336" w:type="dxa"/>
          </w:tcPr>
          <w:p w14:paraId="6F655295"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Adopted a hybrid model based on nationally agreed risk profiling framework and ANZFA priority classification system</w:t>
            </w:r>
            <w:r>
              <w:rPr>
                <w:rStyle w:val="FootnoteReference"/>
                <w:sz w:val="20"/>
                <w:szCs w:val="20"/>
              </w:rPr>
              <w:footnoteReference w:id="23"/>
            </w:r>
            <w:r>
              <w:rPr>
                <w:sz w:val="20"/>
                <w:szCs w:val="20"/>
              </w:rPr>
              <w:t>.</w:t>
            </w:r>
          </w:p>
        </w:tc>
      </w:tr>
      <w:tr w:rsidR="00CB7716" w14:paraId="004A3070"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24931641" w14:textId="77777777" w:rsidR="00CB7716" w:rsidRPr="006E77ED" w:rsidRDefault="00CB7716" w:rsidP="00CB7716">
            <w:pPr>
              <w:spacing w:after="85"/>
              <w:rPr>
                <w:b/>
                <w:sz w:val="20"/>
                <w:szCs w:val="20"/>
              </w:rPr>
            </w:pPr>
            <w:r w:rsidRPr="006E77ED">
              <w:rPr>
                <w:b/>
                <w:sz w:val="20"/>
                <w:szCs w:val="20"/>
              </w:rPr>
              <w:t>South Australia</w:t>
            </w:r>
          </w:p>
        </w:tc>
        <w:tc>
          <w:tcPr>
            <w:tcW w:w="6336" w:type="dxa"/>
          </w:tcPr>
          <w:p w14:paraId="39C972E9"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Adopted the nationally agreed risk profiling framework.</w:t>
            </w:r>
          </w:p>
        </w:tc>
      </w:tr>
      <w:tr w:rsidR="00CB7716" w14:paraId="41E537AE"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3930D95B" w14:textId="77777777" w:rsidR="00CB7716" w:rsidRPr="006E77ED" w:rsidRDefault="00CB7716" w:rsidP="00CB7716">
            <w:pPr>
              <w:spacing w:after="85"/>
              <w:rPr>
                <w:b/>
                <w:sz w:val="20"/>
                <w:szCs w:val="20"/>
              </w:rPr>
            </w:pPr>
            <w:r w:rsidRPr="006E77ED">
              <w:rPr>
                <w:b/>
                <w:sz w:val="20"/>
                <w:szCs w:val="20"/>
              </w:rPr>
              <w:t>Tasmania</w:t>
            </w:r>
          </w:p>
        </w:tc>
        <w:tc>
          <w:tcPr>
            <w:tcW w:w="6336" w:type="dxa"/>
          </w:tcPr>
          <w:p w14:paraId="220F5965"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Adopted the nationally agreed risk profiling framework.</w:t>
            </w:r>
          </w:p>
        </w:tc>
      </w:tr>
      <w:tr w:rsidR="00CB7716" w14:paraId="6899FD4D"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1195ECB3" w14:textId="77777777" w:rsidR="00CB7716" w:rsidRPr="006E77ED" w:rsidRDefault="00CB7716" w:rsidP="00CB7716">
            <w:pPr>
              <w:spacing w:after="85"/>
              <w:rPr>
                <w:b/>
                <w:sz w:val="20"/>
                <w:szCs w:val="20"/>
              </w:rPr>
            </w:pPr>
            <w:r w:rsidRPr="006E77ED">
              <w:rPr>
                <w:b/>
                <w:sz w:val="20"/>
                <w:szCs w:val="20"/>
              </w:rPr>
              <w:t>Victoria</w:t>
            </w:r>
          </w:p>
        </w:tc>
        <w:tc>
          <w:tcPr>
            <w:tcW w:w="6336" w:type="dxa"/>
          </w:tcPr>
          <w:p w14:paraId="3FA64460" w14:textId="77777777" w:rsidR="00CB7716" w:rsidRPr="00174656"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Uses VIC food business classifications, Class 1 to 4 with Class 1 being highest risk</w:t>
            </w:r>
            <w:r>
              <w:rPr>
                <w:rStyle w:val="FootnoteReference"/>
                <w:sz w:val="20"/>
                <w:szCs w:val="20"/>
              </w:rPr>
              <w:footnoteReference w:id="24"/>
            </w:r>
            <w:r>
              <w:rPr>
                <w:sz w:val="20"/>
                <w:szCs w:val="20"/>
              </w:rPr>
              <w:t xml:space="preserve">. </w:t>
            </w:r>
          </w:p>
        </w:tc>
      </w:tr>
      <w:tr w:rsidR="00CB7716" w14:paraId="4A278950" w14:textId="77777777" w:rsidTr="006E77ED">
        <w:tc>
          <w:tcPr>
            <w:cnfStyle w:val="001000000000" w:firstRow="0" w:lastRow="0" w:firstColumn="1" w:lastColumn="0" w:oddVBand="0" w:evenVBand="0" w:oddHBand="0" w:evenHBand="0" w:firstRowFirstColumn="0" w:firstRowLastColumn="0" w:lastRowFirstColumn="0" w:lastRowLastColumn="0"/>
            <w:tcW w:w="2680" w:type="dxa"/>
          </w:tcPr>
          <w:p w14:paraId="7697586C" w14:textId="77777777" w:rsidR="00CB7716" w:rsidRPr="006E77ED" w:rsidRDefault="00CB7716" w:rsidP="00CB7716">
            <w:pPr>
              <w:spacing w:after="85"/>
              <w:rPr>
                <w:b/>
                <w:sz w:val="20"/>
                <w:szCs w:val="20"/>
              </w:rPr>
            </w:pPr>
            <w:r w:rsidRPr="006E77ED">
              <w:rPr>
                <w:b/>
                <w:sz w:val="20"/>
                <w:szCs w:val="20"/>
              </w:rPr>
              <w:t>Western Australia</w:t>
            </w:r>
          </w:p>
        </w:tc>
        <w:tc>
          <w:tcPr>
            <w:tcW w:w="6336" w:type="dxa"/>
          </w:tcPr>
          <w:p w14:paraId="27282531" w14:textId="77777777" w:rsidR="00CB7716" w:rsidRPr="004D0772" w:rsidRDefault="00CB7716" w:rsidP="00CB7716">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Uses an amended ANZFA priority classification system (low, medium, high)</w:t>
            </w:r>
            <w:r>
              <w:rPr>
                <w:rStyle w:val="FootnoteReference"/>
                <w:sz w:val="20"/>
                <w:szCs w:val="20"/>
              </w:rPr>
              <w:footnoteReference w:id="25"/>
            </w:r>
            <w:r>
              <w:rPr>
                <w:sz w:val="20"/>
                <w:szCs w:val="20"/>
              </w:rPr>
              <w:t xml:space="preserve">. </w:t>
            </w:r>
          </w:p>
        </w:tc>
      </w:tr>
    </w:tbl>
    <w:p w14:paraId="69CBAAF6" w14:textId="5F6FF7D7" w:rsidR="00CB7716" w:rsidRDefault="00CB7716" w:rsidP="00CB7716">
      <w:pPr>
        <w:rPr>
          <w:sz w:val="18"/>
        </w:rPr>
      </w:pPr>
      <w:r w:rsidRPr="006A159A">
        <w:rPr>
          <w:sz w:val="18"/>
        </w:rPr>
        <w:t xml:space="preserve">* Food Standards Australia New Zealand (FSANZ) was formerly the Australia New Zealand Food Authority (ANZFA). </w:t>
      </w:r>
    </w:p>
    <w:p w14:paraId="6583EB97" w14:textId="77777777" w:rsidR="00643567" w:rsidRPr="006A159A" w:rsidRDefault="00643567" w:rsidP="00CB7716">
      <w:pPr>
        <w:rPr>
          <w:sz w:val="18"/>
        </w:rPr>
      </w:pPr>
    </w:p>
    <w:p w14:paraId="456A8498" w14:textId="120DF8F9" w:rsidR="00CB7716" w:rsidRDefault="00CB7716" w:rsidP="00227DC2">
      <w:pPr>
        <w:spacing w:after="240"/>
        <w:rPr>
          <w:lang w:val="en-AU"/>
        </w:rPr>
      </w:pPr>
      <w:r w:rsidRPr="004657C0">
        <w:rPr>
          <w:lang w:val="en-AU"/>
        </w:rPr>
        <w:t xml:space="preserve">Given ongoing </w:t>
      </w:r>
      <w:r w:rsidRPr="004657C0">
        <w:rPr>
          <w:lang w:eastAsia="en-AU"/>
        </w:rPr>
        <w:t xml:space="preserve">foodborne illness </w:t>
      </w:r>
      <w:r w:rsidRPr="004657C0">
        <w:rPr>
          <w:lang w:val="en-AU"/>
        </w:rPr>
        <w:t xml:space="preserve">linked to </w:t>
      </w:r>
      <w:r w:rsidRPr="004657C0">
        <w:rPr>
          <w:lang w:eastAsia="en-AU"/>
        </w:rPr>
        <w:t xml:space="preserve">food service businesses and related retailers, </w:t>
      </w:r>
      <w:r w:rsidRPr="004657C0">
        <w:rPr>
          <w:lang w:val="en-AU"/>
        </w:rPr>
        <w:t>regulators ha</w:t>
      </w:r>
      <w:r>
        <w:rPr>
          <w:lang w:val="en-AU"/>
        </w:rPr>
        <w:t xml:space="preserve">ve recognised that current risk </w:t>
      </w:r>
      <w:r w:rsidRPr="004657C0">
        <w:rPr>
          <w:lang w:val="en-AU"/>
        </w:rPr>
        <w:t xml:space="preserve">management measures are not enough for these sectors. </w:t>
      </w:r>
    </w:p>
    <w:p w14:paraId="2B642E5D" w14:textId="77777777" w:rsidR="00643567" w:rsidRDefault="00CB7716" w:rsidP="00227DC2">
      <w:pPr>
        <w:spacing w:after="240"/>
        <w:rPr>
          <w:lang w:val="en-AU"/>
        </w:rPr>
      </w:pPr>
      <w:r w:rsidRPr="004657C0">
        <w:rPr>
          <w:lang w:val="en-AU"/>
        </w:rPr>
        <w:t xml:space="preserve">Considerable work has been done to review the existing measures </w:t>
      </w:r>
      <w:r>
        <w:rPr>
          <w:lang w:val="en-AU"/>
        </w:rPr>
        <w:t xml:space="preserve">both nationally </w:t>
      </w:r>
      <w:bookmarkStart w:id="244" w:name="_Int_RPmGV5ci"/>
      <w:r w:rsidRPr="004657C0">
        <w:rPr>
          <w:lang w:val="en-AU"/>
        </w:rPr>
        <w:t xml:space="preserve">and </w:t>
      </w:r>
      <w:r>
        <w:rPr>
          <w:lang w:val="en-AU"/>
        </w:rPr>
        <w:t>in each jurisdiction</w:t>
      </w:r>
      <w:r w:rsidRPr="48861835">
        <w:rPr>
          <w:lang w:val="en-AU"/>
        </w:rPr>
        <w:t>,</w:t>
      </w:r>
      <w:bookmarkEnd w:id="244"/>
      <w:r>
        <w:rPr>
          <w:lang w:val="en-AU"/>
        </w:rPr>
        <w:t xml:space="preserve"> </w:t>
      </w:r>
      <w:r w:rsidRPr="004657C0">
        <w:rPr>
          <w:lang w:val="en-AU"/>
        </w:rPr>
        <w:t xml:space="preserve">and identify best options for moving forward. This work has included government-commissioned research, technical analyses and stakeholder consultations. </w:t>
      </w:r>
    </w:p>
    <w:p w14:paraId="226DA445" w14:textId="39189B4D" w:rsidR="00CB7716" w:rsidRPr="004657C0" w:rsidRDefault="00CB7716" w:rsidP="00227DC2">
      <w:pPr>
        <w:spacing w:after="240"/>
        <w:rPr>
          <w:lang w:val="en-AU"/>
        </w:rPr>
      </w:pPr>
      <w:r w:rsidRPr="004657C0">
        <w:rPr>
          <w:lang w:val="en-AU"/>
        </w:rPr>
        <w:t>Much of the work has been completed by the FSM WG under FRSC. Key activities include:</w:t>
      </w:r>
    </w:p>
    <w:p w14:paraId="6343B7DE" w14:textId="77777777" w:rsidR="00CB7716" w:rsidRPr="00227DC2" w:rsidRDefault="00CB7716" w:rsidP="00614AF5">
      <w:pPr>
        <w:pStyle w:val="ListParagraph"/>
        <w:numPr>
          <w:ilvl w:val="0"/>
          <w:numId w:val="72"/>
        </w:numPr>
        <w:spacing w:after="240"/>
        <w:rPr>
          <w:b/>
          <w:lang w:eastAsia="en-AU"/>
        </w:rPr>
      </w:pPr>
      <w:r w:rsidRPr="00227DC2">
        <w:rPr>
          <w:lang w:val="en-AU"/>
        </w:rPr>
        <w:t>developing ministerial policy guidelines:</w:t>
      </w:r>
    </w:p>
    <w:p w14:paraId="37F1A075" w14:textId="77777777" w:rsidR="00CB7716" w:rsidRPr="00227DC2" w:rsidRDefault="00CB7716" w:rsidP="00614AF5">
      <w:pPr>
        <w:pStyle w:val="ListParagraph"/>
        <w:numPr>
          <w:ilvl w:val="1"/>
          <w:numId w:val="73"/>
        </w:numPr>
        <w:spacing w:after="240"/>
        <w:rPr>
          <w:b/>
          <w:lang w:eastAsia="en-AU"/>
        </w:rPr>
      </w:pPr>
      <w:r w:rsidRPr="00227DC2">
        <w:rPr>
          <w:i/>
        </w:rPr>
        <w:t>Ministerial Policy Guideline on Food Safety Management in Australia</w:t>
      </w:r>
      <w:r w:rsidRPr="004657C0">
        <w:t xml:space="preserve"> (2003)</w:t>
      </w:r>
    </w:p>
    <w:p w14:paraId="4BA5760E" w14:textId="77777777" w:rsidR="00CB7716" w:rsidRPr="00227DC2" w:rsidRDefault="00CB7716" w:rsidP="00614AF5">
      <w:pPr>
        <w:pStyle w:val="ListParagraph"/>
        <w:numPr>
          <w:ilvl w:val="1"/>
          <w:numId w:val="73"/>
        </w:numPr>
        <w:spacing w:after="240"/>
        <w:rPr>
          <w:b/>
          <w:lang w:eastAsia="en-AU"/>
        </w:rPr>
      </w:pPr>
      <w:r w:rsidRPr="00227DC2">
        <w:rPr>
          <w:i/>
        </w:rPr>
        <w:t>Ministerial Policy Guideline on Food Safety Management for General Food Service and Closely Related Retail Sectors</w:t>
      </w:r>
      <w:r w:rsidRPr="004657C0">
        <w:t xml:space="preserve"> (2011)</w:t>
      </w:r>
    </w:p>
    <w:p w14:paraId="25AED0DA" w14:textId="77777777" w:rsidR="00CB7716" w:rsidRPr="004657C0" w:rsidRDefault="00CB7716" w:rsidP="00614AF5">
      <w:pPr>
        <w:pStyle w:val="ListParagraph"/>
        <w:numPr>
          <w:ilvl w:val="0"/>
          <w:numId w:val="72"/>
        </w:numPr>
        <w:spacing w:after="240"/>
        <w:rPr>
          <w:lang w:eastAsia="en-AU"/>
        </w:rPr>
      </w:pPr>
      <w:r w:rsidRPr="004657C0">
        <w:rPr>
          <w:lang w:eastAsia="en-AU"/>
        </w:rPr>
        <w:t>risk profiling work, identifying food service and related retailers as priority business sectors</w:t>
      </w:r>
    </w:p>
    <w:p w14:paraId="3E8F05E6" w14:textId="77777777" w:rsidR="00CB7716" w:rsidRPr="004657C0" w:rsidRDefault="00CB7716" w:rsidP="00614AF5">
      <w:pPr>
        <w:pStyle w:val="ListParagraph"/>
        <w:numPr>
          <w:ilvl w:val="0"/>
          <w:numId w:val="72"/>
        </w:numPr>
        <w:spacing w:after="240"/>
        <w:rPr>
          <w:lang w:eastAsia="en-AU"/>
        </w:rPr>
      </w:pPr>
      <w:r w:rsidRPr="004657C0">
        <w:rPr>
          <w:lang w:eastAsia="en-AU"/>
        </w:rPr>
        <w:lastRenderedPageBreak/>
        <w:t>evaluating the adequacy of existing measures to manage food safety in these sectors</w:t>
      </w:r>
    </w:p>
    <w:p w14:paraId="0FE22612" w14:textId="77777777" w:rsidR="00CB7716" w:rsidRPr="004657C0" w:rsidRDefault="00CB7716" w:rsidP="00614AF5">
      <w:pPr>
        <w:pStyle w:val="ListParagraph"/>
        <w:numPr>
          <w:ilvl w:val="0"/>
          <w:numId w:val="72"/>
        </w:numPr>
        <w:spacing w:after="240"/>
        <w:rPr>
          <w:lang w:eastAsia="en-AU"/>
        </w:rPr>
      </w:pPr>
      <w:r w:rsidRPr="004657C0">
        <w:rPr>
          <w:lang w:eastAsia="en-AU"/>
        </w:rPr>
        <w:t>identifying potential additional tools to improve food safety in these sectors</w:t>
      </w:r>
    </w:p>
    <w:p w14:paraId="71DB2806" w14:textId="77777777" w:rsidR="00CB7716" w:rsidRPr="004657C0" w:rsidRDefault="00CB7716" w:rsidP="00614AF5">
      <w:pPr>
        <w:pStyle w:val="ListParagraph"/>
        <w:numPr>
          <w:ilvl w:val="0"/>
          <w:numId w:val="72"/>
        </w:numPr>
        <w:spacing w:after="240"/>
        <w:rPr>
          <w:lang w:eastAsia="en-AU"/>
        </w:rPr>
      </w:pPr>
      <w:r w:rsidRPr="004657C0">
        <w:rPr>
          <w:lang w:eastAsia="en-AU"/>
        </w:rPr>
        <w:t>consulting with stakeholders on these tools</w:t>
      </w:r>
    </w:p>
    <w:p w14:paraId="7F9B63D0" w14:textId="77777777" w:rsidR="00CB7716" w:rsidRPr="004657C0" w:rsidRDefault="00CB7716" w:rsidP="00614AF5">
      <w:pPr>
        <w:pStyle w:val="ListParagraph"/>
        <w:numPr>
          <w:ilvl w:val="0"/>
          <w:numId w:val="72"/>
        </w:numPr>
        <w:spacing w:after="240"/>
        <w:rPr>
          <w:lang w:eastAsia="en-AU"/>
        </w:rPr>
      </w:pPr>
      <w:r w:rsidRPr="004657C0">
        <w:rPr>
          <w:lang w:eastAsia="en-AU"/>
        </w:rPr>
        <w:t>develop</w:t>
      </w:r>
      <w:r>
        <w:rPr>
          <w:lang w:eastAsia="en-AU"/>
        </w:rPr>
        <w:t xml:space="preserve">ing </w:t>
      </w:r>
      <w:r w:rsidRPr="00227DC2">
        <w:rPr>
          <w:i/>
          <w:iCs/>
          <w:lang w:eastAsia="en-AU"/>
        </w:rPr>
        <w:t xml:space="preserve">Australia’s </w:t>
      </w:r>
      <w:r w:rsidRPr="00227DC2">
        <w:rPr>
          <w:i/>
          <w:iCs/>
        </w:rPr>
        <w:t>Foodborne Illness Reduction Strategy 2018–2021</w:t>
      </w:r>
      <w:r w:rsidRPr="00227DC2">
        <w:rPr>
          <w:vertAlign w:val="superscript"/>
        </w:rPr>
        <w:t>+</w:t>
      </w:r>
      <w:r w:rsidRPr="004657C0">
        <w:rPr>
          <w:rStyle w:val="FootnoteReference"/>
        </w:rPr>
        <w:footnoteReference w:id="26"/>
      </w:r>
      <w:r w:rsidRPr="004657C0">
        <w:rPr>
          <w:lang w:eastAsia="en-AU"/>
        </w:rPr>
        <w:t>.</w:t>
      </w:r>
    </w:p>
    <w:p w14:paraId="075129A9" w14:textId="77777777" w:rsidR="00CB7716" w:rsidRPr="004657C0" w:rsidRDefault="00CB7716" w:rsidP="00227DC2">
      <w:pPr>
        <w:spacing w:after="240"/>
        <w:rPr>
          <w:lang w:eastAsia="en-AU"/>
        </w:rPr>
      </w:pPr>
      <w:r w:rsidRPr="004657C0">
        <w:rPr>
          <w:lang w:eastAsia="en-AU"/>
        </w:rPr>
        <w:t xml:space="preserve">These activities have culminated in the package of tools </w:t>
      </w:r>
      <w:r>
        <w:rPr>
          <w:lang w:eastAsia="en-AU"/>
        </w:rPr>
        <w:t>being considered in this proposal</w:t>
      </w:r>
      <w:r w:rsidRPr="00781584">
        <w:rPr>
          <w:lang w:eastAsia="en-AU"/>
        </w:rPr>
        <w:t>.</w:t>
      </w:r>
      <w:r>
        <w:rPr>
          <w:lang w:eastAsia="en-AU"/>
        </w:rPr>
        <w:t xml:space="preserve"> </w:t>
      </w:r>
    </w:p>
    <w:p w14:paraId="4FB7FF0D" w14:textId="6F7DFFBE" w:rsidR="00CB7716" w:rsidRDefault="00CB7716" w:rsidP="00227DC2">
      <w:pPr>
        <w:spacing w:after="240"/>
      </w:pPr>
      <w:r>
        <w:t xml:space="preserve">Under the national foodborne illness reduction strategy, </w:t>
      </w:r>
      <w:r>
        <w:rPr>
          <w:lang w:val="en-AU"/>
        </w:rPr>
        <w:t>m</w:t>
      </w:r>
      <w:r w:rsidRPr="004657C0">
        <w:rPr>
          <w:lang w:val="en-AU"/>
        </w:rPr>
        <w:t xml:space="preserve">inisters prioritised nationally consistent arrangements for </w:t>
      </w:r>
      <w:r w:rsidRPr="004657C0">
        <w:t xml:space="preserve">food service and retail sectors. FSANZ </w:t>
      </w:r>
      <w:r>
        <w:t xml:space="preserve">has </w:t>
      </w:r>
      <w:r w:rsidRPr="004657C0">
        <w:t>assessed whether</w:t>
      </w:r>
      <w:r>
        <w:t>,</w:t>
      </w:r>
      <w:r w:rsidRPr="004657C0">
        <w:t xml:space="preserve"> </w:t>
      </w:r>
      <w:r>
        <w:rPr>
          <w:lang w:val="en-AU"/>
        </w:rPr>
        <w:t xml:space="preserve">and how, a national approach could </w:t>
      </w:r>
      <w:r w:rsidRPr="004657C0">
        <w:t xml:space="preserve">strengthen food </w:t>
      </w:r>
      <w:r>
        <w:t>safety management</w:t>
      </w:r>
      <w:r w:rsidRPr="004657C0">
        <w:t xml:space="preserve"> </w:t>
      </w:r>
      <w:r>
        <w:t xml:space="preserve">in these sectors </w:t>
      </w:r>
      <w:r w:rsidRPr="004657C0">
        <w:t xml:space="preserve">and reduce </w:t>
      </w:r>
      <w:r>
        <w:t>Australia’s foodborne illness.</w:t>
      </w:r>
    </w:p>
    <w:p w14:paraId="60C07A93" w14:textId="6915F592" w:rsidR="00CB7716" w:rsidRPr="006D619E" w:rsidRDefault="00CB7716" w:rsidP="006D619E">
      <w:pPr>
        <w:pStyle w:val="Heading2"/>
        <w:numPr>
          <w:ilvl w:val="0"/>
          <w:numId w:val="0"/>
        </w:numPr>
        <w:ind w:left="576" w:hanging="576"/>
      </w:pPr>
      <w:bookmarkStart w:id="245" w:name="_Toc104808599"/>
      <w:bookmarkStart w:id="246" w:name="_Toc107412680"/>
      <w:bookmarkStart w:id="247" w:name="_Toc109300444"/>
      <w:r w:rsidRPr="006D619E">
        <w:t>2</w:t>
      </w:r>
      <w:r w:rsidRPr="006D619E">
        <w:tab/>
        <w:t>What is the problem and why is government action needed?</w:t>
      </w:r>
      <w:bookmarkEnd w:id="245"/>
      <w:bookmarkEnd w:id="246"/>
      <w:bookmarkEnd w:id="247"/>
    </w:p>
    <w:p w14:paraId="532B45F9" w14:textId="79237C65" w:rsidR="00CB7716" w:rsidRDefault="00CB7716" w:rsidP="007C01C0">
      <w:pPr>
        <w:spacing w:after="240"/>
      </w:pPr>
      <w:r w:rsidRPr="00725670">
        <w:t>While the vast majority of food in Australia is safe, foodborne illness is an ongoing and sometimes serious problem that is largely preventable.</w:t>
      </w:r>
      <w:r>
        <w:t xml:space="preserve"> Foodborne illness results in pain and suffering, productivity losses and medical expenses. It even results in death for a small percentage of the population.</w:t>
      </w:r>
    </w:p>
    <w:p w14:paraId="3E2842DD" w14:textId="779641AB" w:rsidR="00CB7716" w:rsidRDefault="00CB7716" w:rsidP="007C01C0">
      <w:pPr>
        <w:spacing w:after="240"/>
      </w:pPr>
      <w:r w:rsidRPr="00725670">
        <w:t xml:space="preserve">Over the past decade, foodborne illness outbreaks have been consistently linked to food service and </w:t>
      </w:r>
      <w:r>
        <w:t>r</w:t>
      </w:r>
      <w:r w:rsidRPr="00725670">
        <w:t>etail businesses</w:t>
      </w:r>
      <w:r>
        <w:t xml:space="preserve"> that handle PHF </w:t>
      </w:r>
      <w:r w:rsidRPr="00725670" w:rsidDel="009C5600">
        <w:t>(</w:t>
      </w:r>
      <w:r>
        <w:t>FSANZ, 2022</w:t>
      </w:r>
      <w:r w:rsidRPr="00725670" w:rsidDel="009C5600">
        <w:t>)</w:t>
      </w:r>
      <w:r w:rsidRPr="00725670">
        <w:t xml:space="preserve">. </w:t>
      </w:r>
      <w:r>
        <w:t>The term ‘outbreak’</w:t>
      </w:r>
      <w:r w:rsidRPr="00725670">
        <w:t xml:space="preserve"> </w:t>
      </w:r>
      <w:r>
        <w:t xml:space="preserve">is used </w:t>
      </w:r>
      <w:r w:rsidRPr="00725670">
        <w:t>wh</w:t>
      </w:r>
      <w:r>
        <w:t>en</w:t>
      </w:r>
      <w:r w:rsidRPr="00725670">
        <w:t xml:space="preserve"> health departments are notified of multiple people becoming sick from the same source.</w:t>
      </w:r>
    </w:p>
    <w:p w14:paraId="2999F739" w14:textId="314F4C65" w:rsidR="00CB7716" w:rsidRDefault="00CB7716" w:rsidP="007C01C0">
      <w:pPr>
        <w:spacing w:after="240"/>
      </w:pPr>
      <w:r w:rsidRPr="00725670">
        <w:t xml:space="preserve">The total number of </w:t>
      </w:r>
      <w:r>
        <w:t>actual</w:t>
      </w:r>
      <w:r w:rsidRPr="00725670">
        <w:t xml:space="preserve"> and probable foodborne ou</w:t>
      </w:r>
      <w:r>
        <w:t>tbreaks in Australia for 2010–</w:t>
      </w:r>
      <w:r w:rsidRPr="00725670">
        <w:t>2017 was 1,257</w:t>
      </w:r>
      <w:r>
        <w:t>.</w:t>
      </w:r>
      <w:r w:rsidRPr="00725670">
        <w:t xml:space="preserve"> Of these, 970 foodborne outbreaks were associated with food prepared in the </w:t>
      </w:r>
      <w:r>
        <w:t xml:space="preserve">business </w:t>
      </w:r>
      <w:r w:rsidRPr="00725670">
        <w:t xml:space="preserve">settings considered in this proposal. The 970 outbreaks resulted in 15,286 people being reported ill, of </w:t>
      </w:r>
      <w:r>
        <w:t xml:space="preserve">whom </w:t>
      </w:r>
      <w:r w:rsidRPr="00725670">
        <w:t xml:space="preserve">1,371 </w:t>
      </w:r>
      <w:r>
        <w:t>were</w:t>
      </w:r>
      <w:r w:rsidRPr="00725670">
        <w:t xml:space="preserve"> hospitalised, and 34 fatalities. </w:t>
      </w:r>
    </w:p>
    <w:p w14:paraId="12ADFE81" w14:textId="79CC7EFA" w:rsidR="00CB7716" w:rsidRDefault="00CB7716" w:rsidP="007C01C0">
      <w:pPr>
        <w:spacing w:after="240"/>
      </w:pPr>
      <w:proofErr w:type="spellStart"/>
      <w:r w:rsidRPr="00725670">
        <w:t>OzFoodNet</w:t>
      </w:r>
      <w:proofErr w:type="spellEnd"/>
      <w:r w:rsidRPr="00107B07">
        <w:rPr>
          <w:vertAlign w:val="superscript"/>
        </w:rPr>
        <w:footnoteReference w:id="27"/>
      </w:r>
      <w:r w:rsidRPr="00107B07">
        <w:rPr>
          <w:vertAlign w:val="superscript"/>
        </w:rPr>
        <w:t xml:space="preserve"> </w:t>
      </w:r>
      <w:r w:rsidRPr="00725670">
        <w:t>reports that there are over 200 different types of illness that may be transmitted by food, although only a handful are notifiable</w:t>
      </w:r>
      <w:r w:rsidRPr="00107B07">
        <w:rPr>
          <w:vertAlign w:val="superscript"/>
        </w:rPr>
        <w:footnoteReference w:id="28"/>
      </w:r>
      <w:r>
        <w:t xml:space="preserve"> to health departments.</w:t>
      </w:r>
    </w:p>
    <w:p w14:paraId="38096891" w14:textId="72487931" w:rsidR="00CB7716" w:rsidRDefault="00CB7716" w:rsidP="007C01C0">
      <w:pPr>
        <w:spacing w:after="240"/>
      </w:pPr>
      <w:r w:rsidRPr="00725670">
        <w:t xml:space="preserve">Due to the </w:t>
      </w:r>
      <w:r>
        <w:t>often-</w:t>
      </w:r>
      <w:r w:rsidRPr="00725670">
        <w:t xml:space="preserve">mild nature of foodborne diseases, most cases do not appear in surveillance statistics collected by health departments. To understand the </w:t>
      </w:r>
      <w:r>
        <w:t xml:space="preserve">real </w:t>
      </w:r>
      <w:r w:rsidRPr="00725670">
        <w:t xml:space="preserve">magnitude of foodborne illness linked to food service and retail sectors, FSANZ developed population estimates to reflect current foodborne illness rates. </w:t>
      </w:r>
    </w:p>
    <w:p w14:paraId="5BFD4403" w14:textId="584C5AD1" w:rsidR="00CB7716" w:rsidRDefault="00CB7716" w:rsidP="007C01C0">
      <w:pPr>
        <w:spacing w:after="240"/>
      </w:pPr>
      <w:r w:rsidRPr="004B3692">
        <w:t xml:space="preserve">FSANZ estimates that </w:t>
      </w:r>
      <w:r>
        <w:t>up to</w:t>
      </w:r>
      <w:r w:rsidRPr="004B3692">
        <w:t xml:space="preserve"> 3.</w:t>
      </w:r>
      <w:r>
        <w:t>2</w:t>
      </w:r>
      <w:r w:rsidRPr="004B3692">
        <w:t xml:space="preserve"> million cases of foodborne illness a year are likely linked to these sectors. </w:t>
      </w:r>
      <w:r>
        <w:t>The cost–benefit analysis attributes the current cost of illness from PHF consumed in these settings around $</w:t>
      </w:r>
      <w:r w:rsidRPr="002E7E5C">
        <w:t>1.6 billion per year</w:t>
      </w:r>
      <w:r>
        <w:t>, including medical costs, productivity losses and pain and suffering.</w:t>
      </w:r>
    </w:p>
    <w:p w14:paraId="1E270FEB" w14:textId="77777777" w:rsidR="00CB7716" w:rsidRDefault="00CB7716" w:rsidP="007C01C0">
      <w:pPr>
        <w:spacing w:after="240"/>
      </w:pPr>
      <w:r>
        <w:t>This is a considerable burden on Australian society. It appears the population estimates of foodborne illness have increased since they were last estimated in 2010, but we need to consider an increased population size, changing consumption patterns, revised methodological approaches in terms of measurement and detection and public health behaviour in response to COVID. Therefore, there are clear challenges in estimating whether there has been a significant change since they were last estimated.</w:t>
      </w:r>
    </w:p>
    <w:p w14:paraId="5B9A6244" w14:textId="71AE6623" w:rsidR="00CB7716" w:rsidRDefault="00CB7716" w:rsidP="007C01C0">
      <w:pPr>
        <w:spacing w:after="240"/>
      </w:pPr>
      <w:r w:rsidRPr="00107B07">
        <w:lastRenderedPageBreak/>
        <w:t>From the early 2000s, specific food handling errors have been consistently reported as contributing to foodborne illness outbreaks</w:t>
      </w:r>
      <w:r>
        <w:t>. These include</w:t>
      </w:r>
      <w:r w:rsidRPr="00107B07">
        <w:t xml:space="preserve"> improper temperature control, poor personal hygiene and cross contamination (</w:t>
      </w:r>
      <w:proofErr w:type="spellStart"/>
      <w:r w:rsidRPr="00107B07">
        <w:t>Ashbolt</w:t>
      </w:r>
      <w:proofErr w:type="spellEnd"/>
      <w:r w:rsidRPr="00107B07">
        <w:t xml:space="preserve"> et al. 2003; Todd 2007; FSANZ 2009). </w:t>
      </w:r>
    </w:p>
    <w:p w14:paraId="4CB8B7E0" w14:textId="6B4B12C0" w:rsidR="00CB7716" w:rsidRDefault="00CB7716" w:rsidP="007C01C0">
      <w:pPr>
        <w:spacing w:after="240"/>
        <w:rPr>
          <w:rFonts w:cs="Arial"/>
        </w:rPr>
      </w:pPr>
      <w:r w:rsidRPr="00107B07">
        <w:rPr>
          <w:rFonts w:cs="Arial"/>
        </w:rPr>
        <w:t xml:space="preserve">FSANZ reviewed </w:t>
      </w:r>
      <w:r>
        <w:rPr>
          <w:rFonts w:cs="Arial"/>
        </w:rPr>
        <w:t xml:space="preserve">more recent </w:t>
      </w:r>
      <w:r w:rsidRPr="00107B07">
        <w:rPr>
          <w:rFonts w:cs="Arial"/>
        </w:rPr>
        <w:t xml:space="preserve">foodborne outbreaks attributed to Australian food service and retail sectors. Data was sourced from the </w:t>
      </w:r>
      <w:proofErr w:type="spellStart"/>
      <w:r w:rsidRPr="00107B07">
        <w:rPr>
          <w:rFonts w:cs="Arial"/>
        </w:rPr>
        <w:t>OzFoodNet</w:t>
      </w:r>
      <w:proofErr w:type="spellEnd"/>
      <w:r w:rsidRPr="00107B07">
        <w:rPr>
          <w:rFonts w:cs="Arial"/>
        </w:rPr>
        <w:t xml:space="preserve"> outbreak register for 2010–2017</w:t>
      </w:r>
      <w:r>
        <w:rPr>
          <w:rFonts w:cs="Arial"/>
        </w:rPr>
        <w:t xml:space="preserve"> (FSANZ, 2022)</w:t>
      </w:r>
      <w:r w:rsidRPr="00107B07">
        <w:rPr>
          <w:rFonts w:cs="Arial"/>
        </w:rPr>
        <w:t xml:space="preserve">. </w:t>
      </w:r>
      <w:r>
        <w:rPr>
          <w:rFonts w:cs="Arial"/>
        </w:rPr>
        <w:t>During</w:t>
      </w:r>
      <w:r w:rsidRPr="00107B07">
        <w:rPr>
          <w:rFonts w:cs="Arial"/>
        </w:rPr>
        <w:t xml:space="preserve"> this period 70% </w:t>
      </w:r>
      <w:r>
        <w:rPr>
          <w:rFonts w:cs="Arial"/>
        </w:rPr>
        <w:t>(879/</w:t>
      </w:r>
      <w:r w:rsidRPr="00107B07">
        <w:rPr>
          <w:rFonts w:cs="Arial"/>
        </w:rPr>
        <w:t>1</w:t>
      </w:r>
      <w:r>
        <w:rPr>
          <w:rFonts w:cs="Arial"/>
        </w:rPr>
        <w:t>,</w:t>
      </w:r>
      <w:r w:rsidRPr="00107B07">
        <w:rPr>
          <w:rFonts w:cs="Arial"/>
        </w:rPr>
        <w:t>257</w:t>
      </w:r>
      <w:r>
        <w:rPr>
          <w:rFonts w:cs="Arial"/>
        </w:rPr>
        <w:t>)</w:t>
      </w:r>
      <w:r w:rsidRPr="00107B07">
        <w:rPr>
          <w:rFonts w:cs="Arial"/>
        </w:rPr>
        <w:t xml:space="preserve"> of outbreaks were associated with food prepared in priority food service and retail businesses. Restaurant settings accounted for the largest proportion (</w:t>
      </w:r>
      <w:r w:rsidRPr="00107B07">
        <w:t>45.1%, 567/1</w:t>
      </w:r>
      <w:r>
        <w:t>,</w:t>
      </w:r>
      <w:r w:rsidRPr="00107B07">
        <w:t>257</w:t>
      </w:r>
      <w:r w:rsidRPr="00107B07">
        <w:rPr>
          <w:rFonts w:cs="Arial"/>
        </w:rPr>
        <w:t>) of all foodborne outbreaks.</w:t>
      </w:r>
    </w:p>
    <w:p w14:paraId="6572D8CD" w14:textId="4E928F19" w:rsidR="00CB7716" w:rsidRDefault="00CB7716" w:rsidP="007C01C0">
      <w:pPr>
        <w:spacing w:after="240"/>
        <w:rPr>
          <w:rFonts w:cs="Arial"/>
        </w:rPr>
      </w:pPr>
      <w:r w:rsidRPr="00107B07">
        <w:rPr>
          <w:rFonts w:cs="Arial"/>
          <w:i/>
        </w:rPr>
        <w:t xml:space="preserve">Salmonella </w:t>
      </w:r>
      <w:r w:rsidRPr="00107B07">
        <w:rPr>
          <w:rFonts w:cs="Arial"/>
        </w:rPr>
        <w:t xml:space="preserve">spp. was the most frequently reported agent responsible for foodborne outbreaks in the priority food service and retail business sectors. It also accounted for the largest proportion of people ill and hospitalised. The majority of the </w:t>
      </w:r>
      <w:r w:rsidRPr="00107B07">
        <w:rPr>
          <w:rFonts w:cs="Arial"/>
          <w:i/>
        </w:rPr>
        <w:t>Salmonella</w:t>
      </w:r>
      <w:r w:rsidRPr="00107B07">
        <w:rPr>
          <w:rFonts w:cs="Arial"/>
        </w:rPr>
        <w:t xml:space="preserve"> spp. outbreaks were </w:t>
      </w:r>
      <w:r>
        <w:rPr>
          <w:rFonts w:cs="Arial"/>
        </w:rPr>
        <w:t>linked</w:t>
      </w:r>
      <w:r w:rsidRPr="00107B07">
        <w:rPr>
          <w:rFonts w:cs="Arial"/>
        </w:rPr>
        <w:t xml:space="preserve"> to eggs (45.5%, 205/450).</w:t>
      </w:r>
      <w:r w:rsidRPr="00107B07">
        <w:t xml:space="preserve"> </w:t>
      </w:r>
      <w:r w:rsidRPr="00107B07">
        <w:rPr>
          <w:rFonts w:cs="Arial"/>
        </w:rPr>
        <w:t>However, the causa</w:t>
      </w:r>
      <w:r>
        <w:rPr>
          <w:rFonts w:cs="Arial"/>
        </w:rPr>
        <w:t>l</w:t>
      </w:r>
      <w:r w:rsidRPr="00107B07">
        <w:rPr>
          <w:rFonts w:cs="Arial"/>
        </w:rPr>
        <w:t xml:space="preserve"> agent or food </w:t>
      </w:r>
      <w:r>
        <w:rPr>
          <w:rFonts w:cs="Arial"/>
        </w:rPr>
        <w:t>could not be</w:t>
      </w:r>
      <w:r w:rsidRPr="00107B07">
        <w:rPr>
          <w:rFonts w:cs="Arial"/>
        </w:rPr>
        <w:t xml:space="preserve"> identified</w:t>
      </w:r>
      <w:r w:rsidRPr="004618A5">
        <w:rPr>
          <w:rFonts w:cs="Arial"/>
        </w:rPr>
        <w:t xml:space="preserve"> </w:t>
      </w:r>
      <w:r w:rsidRPr="00107B07">
        <w:rPr>
          <w:rFonts w:cs="Arial"/>
        </w:rPr>
        <w:t xml:space="preserve">for </w:t>
      </w:r>
      <w:r>
        <w:rPr>
          <w:rFonts w:cs="Arial"/>
        </w:rPr>
        <w:t>many</w:t>
      </w:r>
      <w:r w:rsidRPr="00107B07">
        <w:rPr>
          <w:rFonts w:cs="Arial"/>
        </w:rPr>
        <w:t xml:space="preserve"> outbreaks.</w:t>
      </w:r>
    </w:p>
    <w:p w14:paraId="01F414CE" w14:textId="580BE78A" w:rsidR="00CB7716" w:rsidRDefault="00CB7716" w:rsidP="007C01C0">
      <w:pPr>
        <w:spacing w:after="240"/>
        <w:rPr>
          <w:rFonts w:cs="Arial"/>
        </w:rPr>
      </w:pPr>
      <w:r w:rsidRPr="00107B07">
        <w:rPr>
          <w:rFonts w:cs="Arial"/>
        </w:rPr>
        <w:t xml:space="preserve">Numerous factors enabling bacterial growth were reported to have contributed to the outbreaks. These factors include insufficient cooking, foods left at room or warm temperature, inadequate refrigeration, and delay between </w:t>
      </w:r>
      <w:r>
        <w:rPr>
          <w:rFonts w:cs="Arial"/>
        </w:rPr>
        <w:t xml:space="preserve">food </w:t>
      </w:r>
      <w:r w:rsidRPr="00107B07">
        <w:rPr>
          <w:rFonts w:cs="Arial"/>
        </w:rPr>
        <w:t xml:space="preserve">preparation and consumption. Key </w:t>
      </w:r>
      <w:r>
        <w:rPr>
          <w:rFonts w:cs="Arial"/>
        </w:rPr>
        <w:t xml:space="preserve">reported </w:t>
      </w:r>
      <w:r w:rsidRPr="00107B07">
        <w:rPr>
          <w:rFonts w:cs="Arial"/>
        </w:rPr>
        <w:t xml:space="preserve">factors affecting bacterial survival were insufficient time/temperature during cooking, inadequate acidification of food and inadequate sanitisation. </w:t>
      </w:r>
    </w:p>
    <w:p w14:paraId="0BCEDEA2" w14:textId="611A95DB" w:rsidR="00CB7716" w:rsidRDefault="00CB7716" w:rsidP="007C01C0">
      <w:pPr>
        <w:spacing w:after="240"/>
        <w:rPr>
          <w:rFonts w:cs="Arial"/>
        </w:rPr>
      </w:pPr>
      <w:r w:rsidRPr="00107B07">
        <w:rPr>
          <w:rFonts w:cs="Arial"/>
        </w:rPr>
        <w:t>This analysis</w:t>
      </w:r>
      <w:r w:rsidRPr="00107B07" w:rsidDel="00E57530">
        <w:rPr>
          <w:rFonts w:cs="Arial"/>
        </w:rPr>
        <w:t xml:space="preserve"> </w:t>
      </w:r>
      <w:r w:rsidRPr="00107B07">
        <w:rPr>
          <w:rFonts w:cs="Arial"/>
        </w:rPr>
        <w:t xml:space="preserve">indicates failings in the food service and retail business sectors to effectively mitigate food safety risks, resulting in foodborne illness. </w:t>
      </w:r>
      <w:r>
        <w:rPr>
          <w:rFonts w:cs="Arial"/>
        </w:rPr>
        <w:t xml:space="preserve">This confirms the proposition by ministers and the </w:t>
      </w:r>
      <w:r>
        <w:rPr>
          <w:rFonts w:cs="Arial"/>
          <w:lang w:val="en-AU"/>
        </w:rPr>
        <w:t>Implementation Subcommittee for Food Regulation</w:t>
      </w:r>
      <w:r>
        <w:rPr>
          <w:rFonts w:cs="Arial"/>
        </w:rPr>
        <w:t xml:space="preserve"> (ISFR) that illness would be reduced by</w:t>
      </w:r>
      <w:r w:rsidRPr="00107B07">
        <w:rPr>
          <w:rFonts w:cs="Arial"/>
        </w:rPr>
        <w:t xml:space="preserve"> targeting improvements in food handling skills and </w:t>
      </w:r>
      <w:bookmarkStart w:id="248" w:name="_Int_G3LQyh62"/>
      <w:r w:rsidRPr="00107B07">
        <w:rPr>
          <w:rFonts w:cs="Arial"/>
        </w:rPr>
        <w:t>knowledge, and</w:t>
      </w:r>
      <w:bookmarkEnd w:id="248"/>
      <w:r w:rsidRPr="00107B07">
        <w:rPr>
          <w:rFonts w:cs="Arial"/>
        </w:rPr>
        <w:t xml:space="preserve"> </w:t>
      </w:r>
      <w:r>
        <w:rPr>
          <w:rFonts w:cs="Arial"/>
        </w:rPr>
        <w:t>managing</w:t>
      </w:r>
      <w:r w:rsidRPr="00107B07">
        <w:rPr>
          <w:rFonts w:cs="Arial"/>
        </w:rPr>
        <w:t xml:space="preserve"> </w:t>
      </w:r>
      <w:r>
        <w:rPr>
          <w:rFonts w:cs="Arial"/>
        </w:rPr>
        <w:t>critical</w:t>
      </w:r>
      <w:r w:rsidRPr="00107B07">
        <w:rPr>
          <w:rFonts w:cs="Arial"/>
        </w:rPr>
        <w:t xml:space="preserve"> factors enabling bacterial growth and survival.</w:t>
      </w:r>
    </w:p>
    <w:p w14:paraId="1A3F9E62" w14:textId="77777777" w:rsidR="00CB7716" w:rsidRDefault="00CB7716" w:rsidP="007C01C0">
      <w:pPr>
        <w:spacing w:after="240"/>
        <w:rPr>
          <w:rFonts w:cs="Arial"/>
        </w:rPr>
      </w:pPr>
      <w:r>
        <w:rPr>
          <w:rFonts w:cs="Arial"/>
        </w:rPr>
        <w:t xml:space="preserve">There are several justifications for direct government intervention: </w:t>
      </w:r>
    </w:p>
    <w:p w14:paraId="15ABE28C" w14:textId="77777777" w:rsidR="00CB7716" w:rsidRDefault="00CB7716" w:rsidP="00614AF5">
      <w:pPr>
        <w:pStyle w:val="ListParagraph"/>
        <w:numPr>
          <w:ilvl w:val="0"/>
          <w:numId w:val="74"/>
        </w:numPr>
        <w:spacing w:after="240"/>
      </w:pPr>
      <w:r>
        <w:t xml:space="preserve">There is a market failure, in that, in these settings, consumers are typically unable to assess the safety of a product and/or unlikely to take any control measures (e.g. cooking) before they consume it. This is further compounded by potentially inadequate restorative remedies (such as compensation) for consumers once they become sick. It is unlikely that civil action will be taken in most circumstances, due to evidentiary challenges of establishing causation when food has already been consumed, and the often-small costs borne by an individual. </w:t>
      </w:r>
    </w:p>
    <w:p w14:paraId="7E1ECDFD" w14:textId="77777777" w:rsidR="00CB7716" w:rsidRDefault="00CB7716" w:rsidP="00614AF5">
      <w:pPr>
        <w:pStyle w:val="ListParagraph"/>
        <w:numPr>
          <w:ilvl w:val="0"/>
          <w:numId w:val="74"/>
        </w:numPr>
        <w:spacing w:after="240"/>
      </w:pPr>
      <w:r>
        <w:t>Current regulation does not seem to be adequately managing risk. Businesses may need to take further responsibility for safe food, rather than relying on periodic inspections to reduce their day-to-day risks.</w:t>
      </w:r>
    </w:p>
    <w:p w14:paraId="7ED16325" w14:textId="77777777" w:rsidR="00CB7716" w:rsidRDefault="00CB7716" w:rsidP="00614AF5">
      <w:pPr>
        <w:pStyle w:val="ListParagraph"/>
        <w:numPr>
          <w:ilvl w:val="0"/>
          <w:numId w:val="74"/>
        </w:numPr>
        <w:spacing w:after="240"/>
      </w:pPr>
      <w:r>
        <w:t xml:space="preserve">The current situation represents an unacceptable and possibly growing risk to members of the community. Consumers are unaware and not able to manage this risk, other than by avoiding food prepared by somebody else. </w:t>
      </w:r>
    </w:p>
    <w:p w14:paraId="41D5912E" w14:textId="77777777" w:rsidR="00CB7716" w:rsidRDefault="00CB7716" w:rsidP="00614AF5">
      <w:pPr>
        <w:pStyle w:val="ListParagraph"/>
        <w:numPr>
          <w:ilvl w:val="0"/>
          <w:numId w:val="74"/>
        </w:numPr>
        <w:spacing w:after="240"/>
      </w:pPr>
      <w:r>
        <w:t>Foodborne illness threatens not only individuals’ health but has the potential to do economy-wide damage.</w:t>
      </w:r>
    </w:p>
    <w:p w14:paraId="392F6C9A" w14:textId="77777777" w:rsidR="00CB7716" w:rsidRPr="006D619E" w:rsidRDefault="00CB7716" w:rsidP="006D619E">
      <w:pPr>
        <w:pStyle w:val="Heading2"/>
        <w:numPr>
          <w:ilvl w:val="0"/>
          <w:numId w:val="0"/>
        </w:numPr>
        <w:ind w:left="576" w:hanging="576"/>
      </w:pPr>
      <w:bookmarkStart w:id="249" w:name="_Toc426380825"/>
      <w:bookmarkStart w:id="250" w:name="_Toc426380890"/>
      <w:bookmarkStart w:id="251" w:name="_Toc426380921"/>
      <w:bookmarkStart w:id="252" w:name="_Toc104808600"/>
      <w:bookmarkStart w:id="253" w:name="_Toc107412681"/>
      <w:bookmarkStart w:id="254" w:name="_Toc109300445"/>
      <w:r w:rsidRPr="006D619E">
        <w:t>3</w:t>
      </w:r>
      <w:r w:rsidRPr="006D619E">
        <w:tab/>
      </w:r>
      <w:bookmarkEnd w:id="249"/>
      <w:bookmarkEnd w:id="250"/>
      <w:bookmarkEnd w:id="251"/>
      <w:r w:rsidRPr="006D619E">
        <w:t>What policy options are being considered?</w:t>
      </w:r>
      <w:bookmarkEnd w:id="252"/>
      <w:bookmarkEnd w:id="253"/>
      <w:bookmarkEnd w:id="254"/>
    </w:p>
    <w:p w14:paraId="6B661015" w14:textId="4588BDA1" w:rsidR="00CB7716" w:rsidRDefault="00CB7716" w:rsidP="003B2774">
      <w:pPr>
        <w:spacing w:after="240"/>
      </w:pPr>
      <w:bookmarkStart w:id="255" w:name="_Toc426380826"/>
      <w:bookmarkStart w:id="256" w:name="_Toc426380891"/>
      <w:bookmarkStart w:id="257" w:name="_Toc426380922"/>
      <w:r>
        <w:t xml:space="preserve">In our assessment, FSANZ determined that the community, government, and industry as a whole are likely to benefit, on balance, from a move from the status quo. </w:t>
      </w:r>
    </w:p>
    <w:p w14:paraId="4583E20D" w14:textId="77777777" w:rsidR="00CB7716" w:rsidRDefault="00CB7716" w:rsidP="003B2774">
      <w:pPr>
        <w:spacing w:after="240"/>
      </w:pPr>
      <w:r>
        <w:t xml:space="preserve">As indicated in section 1.3, jurisdictions currently have different approaches to managing food safety. </w:t>
      </w:r>
      <w:r w:rsidRPr="00DF65A6">
        <w:t>The proposed options will have different impacts across jurisdictions</w:t>
      </w:r>
      <w:r>
        <w:t>, reflecting</w:t>
      </w:r>
      <w:r w:rsidRPr="00DF65A6">
        <w:t xml:space="preserve"> the different way businesses are currently regulated across Australia. In some jurisdictions </w:t>
      </w:r>
      <w:r>
        <w:lastRenderedPageBreak/>
        <w:t>the proposed requirements</w:t>
      </w:r>
      <w:r w:rsidRPr="00DF65A6">
        <w:t xml:space="preserve"> will mean </w:t>
      </w:r>
      <w:r>
        <w:t>little</w:t>
      </w:r>
      <w:r w:rsidRPr="00DF65A6">
        <w:t xml:space="preserve"> change</w:t>
      </w:r>
      <w:r>
        <w:t>,</w:t>
      </w:r>
      <w:r w:rsidRPr="00DF65A6">
        <w:t xml:space="preserve"> with low costs and small changes in risks</w:t>
      </w:r>
      <w:r>
        <w:t xml:space="preserve">. </w:t>
      </w:r>
      <w:r w:rsidRPr="00DF65A6">
        <w:t>In other jurisdictions</w:t>
      </w:r>
      <w:r>
        <w:t>,</w:t>
      </w:r>
      <w:r w:rsidRPr="00DF65A6">
        <w:t xml:space="preserve"> </w:t>
      </w:r>
      <w:r>
        <w:t xml:space="preserve">it </w:t>
      </w:r>
      <w:r w:rsidRPr="00DF65A6">
        <w:t xml:space="preserve">will mean larger change, </w:t>
      </w:r>
      <w:r>
        <w:t xml:space="preserve">higher </w:t>
      </w:r>
      <w:r w:rsidRPr="00DF65A6">
        <w:t xml:space="preserve">costs and </w:t>
      </w:r>
      <w:r>
        <w:t xml:space="preserve">bigger </w:t>
      </w:r>
      <w:r w:rsidRPr="00DF65A6">
        <w:t>decreases in risk</w:t>
      </w:r>
      <w:r>
        <w:t xml:space="preserve">. </w:t>
      </w:r>
      <w:r w:rsidRPr="00DF65A6">
        <w:t>Th</w:t>
      </w:r>
      <w:r>
        <w:t>ese differences were</w:t>
      </w:r>
      <w:r w:rsidRPr="00DF65A6">
        <w:t xml:space="preserve"> reflected in </w:t>
      </w:r>
      <w:r>
        <w:t>our</w:t>
      </w:r>
      <w:r w:rsidRPr="00DF65A6">
        <w:t xml:space="preserve"> analysis</w:t>
      </w:r>
      <w:r>
        <w:t xml:space="preserve">. </w:t>
      </w:r>
    </w:p>
    <w:p w14:paraId="6F83E044" w14:textId="788123B0" w:rsidR="00CB7716" w:rsidRDefault="00CB7716" w:rsidP="006D619E">
      <w:pPr>
        <w:pStyle w:val="Heading3"/>
        <w:numPr>
          <w:ilvl w:val="0"/>
          <w:numId w:val="0"/>
        </w:numPr>
        <w:ind w:left="720" w:hanging="720"/>
      </w:pPr>
      <w:bookmarkStart w:id="258" w:name="_Toc104808601"/>
      <w:bookmarkStart w:id="259" w:name="_Toc107412682"/>
      <w:bookmarkStart w:id="260" w:name="_Toc109300446"/>
      <w:r>
        <w:t>3</w:t>
      </w:r>
      <w:r w:rsidRPr="00D15F61">
        <w:t>.1</w:t>
      </w:r>
      <w:r w:rsidRPr="00D15F61">
        <w:tab/>
        <w:t>Opt</w:t>
      </w:r>
      <w:r>
        <w:t>ion 1 – Maintain the status quo</w:t>
      </w:r>
      <w:bookmarkEnd w:id="255"/>
      <w:bookmarkEnd w:id="256"/>
      <w:bookmarkEnd w:id="257"/>
      <w:bookmarkEnd w:id="258"/>
      <w:bookmarkEnd w:id="259"/>
      <w:bookmarkEnd w:id="260"/>
    </w:p>
    <w:p w14:paraId="313F7ED9" w14:textId="77777777" w:rsidR="00CB7716" w:rsidRDefault="00CB7716" w:rsidP="003B2774">
      <w:pPr>
        <w:spacing w:after="240"/>
      </w:pPr>
      <w:r w:rsidRPr="48861835">
        <w:t xml:space="preserve">This is the benchmark option against which we compared all other options. </w:t>
      </w:r>
    </w:p>
    <w:p w14:paraId="6BF22545" w14:textId="5D9C5C0A" w:rsidR="00CB7716" w:rsidRDefault="00CB7716" w:rsidP="003B2774">
      <w:pPr>
        <w:spacing w:after="240"/>
      </w:pPr>
      <w:r>
        <w:t xml:space="preserve">Under the status quo option, proposal P1053 would be abandoned, </w:t>
      </w:r>
      <w:r w:rsidRPr="004621B4">
        <w:t xml:space="preserve">and the current regulatory </w:t>
      </w:r>
      <w:r>
        <w:t>environment</w:t>
      </w:r>
      <w:r w:rsidRPr="004621B4">
        <w:t xml:space="preserve"> would continue. </w:t>
      </w:r>
      <w:r>
        <w:t xml:space="preserve">The general requirements of </w:t>
      </w:r>
      <w:r w:rsidRPr="00D90680">
        <w:t xml:space="preserve">Chapter 3 of the Code </w:t>
      </w:r>
      <w:r>
        <w:t xml:space="preserve">apply broadly to all food businesses. Given some jurisdictions have implemented additional jurisdiction-specific measures, </w:t>
      </w:r>
      <w:r w:rsidRPr="48861835">
        <w:t>there would be no nationally consistent set of food safety requirements specifically covering food service and related retail. A</w:t>
      </w:r>
      <w:r>
        <w:t>s such, there would be no differentiation of food safety regulatory measures based on</w:t>
      </w:r>
      <w:r w:rsidRPr="00D90680">
        <w:t xml:space="preserve"> risk</w:t>
      </w:r>
      <w:r>
        <w:t xml:space="preserve"> that are applied consistently at a national level</w:t>
      </w:r>
      <w:r w:rsidRPr="00D90680">
        <w:t>.</w:t>
      </w:r>
    </w:p>
    <w:p w14:paraId="438CAB1F" w14:textId="77777777" w:rsidR="00CB7716" w:rsidRDefault="00CB7716" w:rsidP="003B2774">
      <w:pPr>
        <w:spacing w:after="240"/>
      </w:pPr>
      <w:r w:rsidRPr="00986631">
        <w:t xml:space="preserve">Efforts to improve education within the industry and its food safety culture will be implemented regardless of what option is chosen. </w:t>
      </w:r>
      <w:r>
        <w:t>Such</w:t>
      </w:r>
      <w:r w:rsidRPr="00986631">
        <w:t xml:space="preserve"> non-regulatory initiatives </w:t>
      </w:r>
      <w:r>
        <w:t xml:space="preserve">are </w:t>
      </w:r>
      <w:r w:rsidRPr="00986631">
        <w:t>already underway as part of Australia's foodborne illness reduction strategy. This work has strong support from regulators and will both complement and facilitate the implementation of new regulation. These are relatively low</w:t>
      </w:r>
      <w:r>
        <w:t>-</w:t>
      </w:r>
      <w:r w:rsidRPr="00986631">
        <w:t>cost interventions for regulators and industry</w:t>
      </w:r>
      <w:r>
        <w:t xml:space="preserve">. </w:t>
      </w:r>
      <w:r w:rsidRPr="00986631">
        <w:t xml:space="preserve">Therefore, </w:t>
      </w:r>
      <w:r>
        <w:t>they</w:t>
      </w:r>
      <w:r w:rsidRPr="00986631">
        <w:t xml:space="preserve"> have not been considered as a separate option</w:t>
      </w:r>
      <w:r>
        <w:t xml:space="preserve"> here. They </w:t>
      </w:r>
      <w:r w:rsidRPr="00986631">
        <w:t>should be considered as part of the status quo</w:t>
      </w:r>
      <w:r>
        <w:t>,</w:t>
      </w:r>
      <w:r w:rsidRPr="00986631">
        <w:t xml:space="preserve"> even though they will better enable the options considered below</w:t>
      </w:r>
      <w:r>
        <w:t xml:space="preserve">. </w:t>
      </w:r>
    </w:p>
    <w:p w14:paraId="068DA333" w14:textId="77777777" w:rsidR="00CB7716" w:rsidRPr="00986631" w:rsidRDefault="00CB7716" w:rsidP="003B2774">
      <w:pPr>
        <w:spacing w:after="240"/>
      </w:pPr>
      <w:r>
        <w:t>Further discussion on education and food safety culture is</w:t>
      </w:r>
      <w:r w:rsidRPr="00986631">
        <w:t xml:space="preserve"> </w:t>
      </w:r>
      <w:r>
        <w:t>contained</w:t>
      </w:r>
      <w:r w:rsidRPr="00986631">
        <w:t xml:space="preserve"> in Appendix 2.</w:t>
      </w:r>
    </w:p>
    <w:p w14:paraId="02BA9454" w14:textId="0709F08D" w:rsidR="00CB7716" w:rsidRDefault="00CB7716" w:rsidP="006D619E">
      <w:pPr>
        <w:pStyle w:val="Heading3"/>
        <w:numPr>
          <w:ilvl w:val="0"/>
          <w:numId w:val="0"/>
        </w:numPr>
        <w:ind w:left="720" w:hanging="720"/>
      </w:pPr>
      <w:bookmarkStart w:id="261" w:name="_Toc104808602"/>
      <w:bookmarkStart w:id="262" w:name="_Toc107412683"/>
      <w:bookmarkStart w:id="263" w:name="_Toc109300447"/>
      <w:r>
        <w:t>3.2</w:t>
      </w:r>
      <w:r>
        <w:tab/>
      </w:r>
      <w:r w:rsidRPr="00D15F61">
        <w:t xml:space="preserve">Option </w:t>
      </w:r>
      <w:r>
        <w:t>2</w:t>
      </w:r>
      <w:r w:rsidRPr="00D15F61">
        <w:t xml:space="preserve"> – </w:t>
      </w:r>
      <w:r>
        <w:t>Self-regulation</w:t>
      </w:r>
      <w:bookmarkEnd w:id="261"/>
      <w:bookmarkEnd w:id="262"/>
      <w:bookmarkEnd w:id="263"/>
    </w:p>
    <w:p w14:paraId="4AD901DA" w14:textId="31876C9C" w:rsidR="00CB7716" w:rsidRDefault="00CB7716" w:rsidP="003B2774">
      <w:pPr>
        <w:spacing w:after="240"/>
      </w:pPr>
      <w:r>
        <w:t xml:space="preserve">Self-regulation would involve food businesses putting their own (voluntary) systems in place to improve food safety, such as a record keeping system that documents food handling practices. These systems would be similar to measures under option 3 and involve similar costs, but would not be subject to regulatory oversight. Self-regulation provides an alternative to regulation where businesses are appropriately incentivised or disincentivised to participate and comply. This approach works best where there is significant industry body membership across the sector. </w:t>
      </w:r>
    </w:p>
    <w:p w14:paraId="0228EFE7" w14:textId="3C0A1D12" w:rsidR="00CB7716" w:rsidRPr="00B63E38" w:rsidRDefault="00CB7716" w:rsidP="003B2774">
      <w:pPr>
        <w:spacing w:after="240"/>
      </w:pPr>
      <w:r>
        <w:t>Given the diverse nature of these sectors, there would be no consistency in what each business implemented nor any single/major peak industry body that would drive a particular action or measure</w:t>
      </w:r>
      <w:r w:rsidDel="005D5F6B">
        <w:t>.</w:t>
      </w:r>
      <w:r w:rsidR="0081747A">
        <w:t xml:space="preserve"> </w:t>
      </w:r>
    </w:p>
    <w:p w14:paraId="77882404" w14:textId="466137C0" w:rsidR="00CB7716" w:rsidRDefault="00CB7716" w:rsidP="006D619E">
      <w:pPr>
        <w:pStyle w:val="Heading3"/>
        <w:numPr>
          <w:ilvl w:val="0"/>
          <w:numId w:val="0"/>
        </w:numPr>
        <w:ind w:left="720" w:hanging="720"/>
      </w:pPr>
      <w:bookmarkStart w:id="264" w:name="_Toc426380828"/>
      <w:bookmarkStart w:id="265" w:name="_Toc426380893"/>
      <w:bookmarkStart w:id="266" w:name="_Toc426380924"/>
      <w:bookmarkStart w:id="267" w:name="_Toc104808603"/>
      <w:bookmarkStart w:id="268" w:name="_Toc107412684"/>
      <w:bookmarkStart w:id="269" w:name="_Toc109300448"/>
      <w:r>
        <w:t>3</w:t>
      </w:r>
      <w:r w:rsidRPr="00D15F61">
        <w:t>.</w:t>
      </w:r>
      <w:r>
        <w:t>3</w:t>
      </w:r>
      <w:r w:rsidRPr="00D15F61">
        <w:tab/>
        <w:t xml:space="preserve">Option </w:t>
      </w:r>
      <w:r>
        <w:t>3</w:t>
      </w:r>
      <w:r w:rsidRPr="00D15F61">
        <w:t xml:space="preserve"> – </w:t>
      </w:r>
      <w:bookmarkEnd w:id="264"/>
      <w:bookmarkEnd w:id="265"/>
      <w:bookmarkEnd w:id="266"/>
      <w:r>
        <w:t>Regulated food safety management tools</w:t>
      </w:r>
      <w:bookmarkEnd w:id="267"/>
      <w:bookmarkEnd w:id="268"/>
      <w:bookmarkEnd w:id="269"/>
    </w:p>
    <w:p w14:paraId="3CDAA903" w14:textId="77777777" w:rsidR="00CB7716" w:rsidRDefault="00CB7716" w:rsidP="003B2774">
      <w:pPr>
        <w:spacing w:after="240"/>
      </w:pPr>
      <w:r>
        <w:t>This option involves amending the Code to mandate one or more of the three tools endorsed by ministers. The tools are referred to as:</w:t>
      </w:r>
    </w:p>
    <w:p w14:paraId="2B92B6BA" w14:textId="77777777" w:rsidR="00CB7716" w:rsidRDefault="00CB7716" w:rsidP="00614AF5">
      <w:pPr>
        <w:pStyle w:val="ListParagraph"/>
        <w:numPr>
          <w:ilvl w:val="0"/>
          <w:numId w:val="75"/>
        </w:numPr>
        <w:spacing w:after="240"/>
      </w:pPr>
      <w:r>
        <w:t>food safety supervisor (FSS)</w:t>
      </w:r>
    </w:p>
    <w:p w14:paraId="3678C0DB" w14:textId="77777777" w:rsidR="00CB7716" w:rsidRDefault="00CB7716" w:rsidP="00614AF5">
      <w:pPr>
        <w:pStyle w:val="ListParagraph"/>
        <w:numPr>
          <w:ilvl w:val="0"/>
          <w:numId w:val="75"/>
        </w:numPr>
        <w:spacing w:after="240"/>
      </w:pPr>
      <w:r>
        <w:t>food handler training (FHT)</w:t>
      </w:r>
    </w:p>
    <w:p w14:paraId="518B6FBE" w14:textId="77777777" w:rsidR="00CB7716" w:rsidRDefault="00CB7716" w:rsidP="00614AF5">
      <w:pPr>
        <w:pStyle w:val="ListParagraph"/>
        <w:numPr>
          <w:ilvl w:val="0"/>
          <w:numId w:val="75"/>
        </w:numPr>
        <w:spacing w:after="240"/>
      </w:pPr>
      <w:r w:rsidRPr="002F2193">
        <w:t>evidence to substantiate food safety management</w:t>
      </w:r>
      <w:r>
        <w:t xml:space="preserve"> (E).</w:t>
      </w:r>
    </w:p>
    <w:p w14:paraId="6D4AB239" w14:textId="77777777" w:rsidR="00CB7716" w:rsidRDefault="00CB7716" w:rsidP="003B2774">
      <w:pPr>
        <w:spacing w:after="240"/>
      </w:pPr>
      <w:r>
        <w:t>FSANZ considered different combinations of these tools. In our cost–benefit analysis, we condensed these down to two options:</w:t>
      </w:r>
    </w:p>
    <w:p w14:paraId="65A42B9E" w14:textId="77777777" w:rsidR="00CB7716" w:rsidRDefault="00CB7716" w:rsidP="003B2774">
      <w:pPr>
        <w:spacing w:after="240"/>
      </w:pPr>
      <w:r>
        <w:rPr>
          <w:b/>
        </w:rPr>
        <w:t>Option 3.1</w:t>
      </w:r>
      <w:r w:rsidRPr="00354C94">
        <w:rPr>
          <w:b/>
        </w:rPr>
        <w:t>:</w:t>
      </w:r>
      <w:r>
        <w:t xml:space="preserve"> Requiring a certified </w:t>
      </w:r>
      <w:r w:rsidDel="0076382D">
        <w:t>food safety supervisor (</w:t>
      </w:r>
      <w:r>
        <w:t>FSS</w:t>
      </w:r>
      <w:r w:rsidDel="0076382D">
        <w:t>)</w:t>
      </w:r>
      <w:r>
        <w:t>, and food handler staff to complete food handler training (FHT)</w:t>
      </w:r>
    </w:p>
    <w:p w14:paraId="662A306D" w14:textId="77777777" w:rsidR="00CB7716" w:rsidRDefault="00CB7716" w:rsidP="003B2774">
      <w:pPr>
        <w:spacing w:after="240"/>
      </w:pPr>
      <w:r w:rsidRPr="00935345">
        <w:rPr>
          <w:b/>
        </w:rPr>
        <w:lastRenderedPageBreak/>
        <w:t>Option 3.2:</w:t>
      </w:r>
      <w:r>
        <w:rPr>
          <w:b/>
        </w:rPr>
        <w:t xml:space="preserve"> </w:t>
      </w:r>
      <w:r>
        <w:t>Requiring all three tools (FSS, FHT, E).</w:t>
      </w:r>
    </w:p>
    <w:p w14:paraId="7B90B23E" w14:textId="22FBF184" w:rsidR="00CB7716" w:rsidRDefault="00CB7716" w:rsidP="0025246D">
      <w:pPr>
        <w:rPr>
          <w:rStyle w:val="Heading1Char"/>
          <w:b w:val="0"/>
        </w:rPr>
      </w:pPr>
      <w:r>
        <w:t xml:space="preserve">In addition to looking at the cost–benefit analysis outcomes of options 3.1 and 3.2, our assessment also considered whether these options were practical and implementable, in the context of our risk profiling of food handling activities in each of our business categories. </w:t>
      </w:r>
      <w:bookmarkStart w:id="270" w:name="_Toc426380830"/>
      <w:bookmarkStart w:id="271" w:name="_Toc426380895"/>
      <w:bookmarkStart w:id="272" w:name="_Toc426380926"/>
    </w:p>
    <w:p w14:paraId="7912DCE5" w14:textId="6D063089" w:rsidR="00CB7716" w:rsidRPr="0025246D" w:rsidRDefault="00CB7716" w:rsidP="0025246D">
      <w:pPr>
        <w:pStyle w:val="Heading2"/>
        <w:numPr>
          <w:ilvl w:val="0"/>
          <w:numId w:val="0"/>
        </w:numPr>
        <w:ind w:left="576" w:hanging="576"/>
      </w:pPr>
      <w:bookmarkStart w:id="273" w:name="_Toc104808604"/>
      <w:bookmarkStart w:id="274" w:name="_Toc107412685"/>
      <w:bookmarkStart w:id="275" w:name="_Toc109300449"/>
      <w:r w:rsidRPr="0025246D">
        <w:rPr>
          <w:rStyle w:val="Heading1Char"/>
          <w:b/>
          <w:bCs/>
          <w:sz w:val="28"/>
          <w:szCs w:val="22"/>
        </w:rPr>
        <w:t>4</w:t>
      </w:r>
      <w:r w:rsidRPr="0025246D">
        <w:rPr>
          <w:rStyle w:val="Heading1Char"/>
          <w:b/>
          <w:bCs/>
          <w:sz w:val="28"/>
          <w:szCs w:val="22"/>
        </w:rPr>
        <w:tab/>
      </w:r>
      <w:bookmarkEnd w:id="270"/>
      <w:bookmarkEnd w:id="271"/>
      <w:bookmarkEnd w:id="272"/>
      <w:r w:rsidRPr="0025246D">
        <w:rPr>
          <w:rStyle w:val="Heading1Char"/>
          <w:b/>
          <w:bCs/>
          <w:sz w:val="28"/>
          <w:szCs w:val="22"/>
        </w:rPr>
        <w:t>What are the likely net benefits of each option?</w:t>
      </w:r>
      <w:bookmarkEnd w:id="273"/>
      <w:bookmarkEnd w:id="274"/>
      <w:bookmarkEnd w:id="275"/>
    </w:p>
    <w:p w14:paraId="63B13E71" w14:textId="20AE8575" w:rsidR="00CB7716" w:rsidRPr="00720A23" w:rsidRDefault="00CB7716" w:rsidP="006D619E">
      <w:pPr>
        <w:pStyle w:val="Heading3"/>
        <w:numPr>
          <w:ilvl w:val="0"/>
          <w:numId w:val="0"/>
        </w:numPr>
        <w:ind w:left="720" w:hanging="720"/>
      </w:pPr>
      <w:bookmarkStart w:id="276" w:name="_Toc104808605"/>
      <w:bookmarkStart w:id="277" w:name="_Toc107412686"/>
      <w:bookmarkStart w:id="278" w:name="_Toc109300450"/>
      <w:bookmarkStart w:id="279" w:name="_Toc426380832"/>
      <w:bookmarkStart w:id="280" w:name="_Toc426380897"/>
      <w:bookmarkStart w:id="281" w:name="_Toc426380928"/>
      <w:r>
        <w:t>4.1</w:t>
      </w:r>
      <w:r>
        <w:tab/>
      </w:r>
      <w:r w:rsidRPr="00720A23">
        <w:t>Introduction</w:t>
      </w:r>
      <w:bookmarkEnd w:id="276"/>
      <w:bookmarkEnd w:id="277"/>
      <w:bookmarkEnd w:id="278"/>
    </w:p>
    <w:p w14:paraId="21B55BA1" w14:textId="31ABEC7C" w:rsidR="00CB7716" w:rsidRDefault="00CB7716" w:rsidP="003B2774">
      <w:pPr>
        <w:spacing w:after="240"/>
      </w:pPr>
      <w:r>
        <w:t>FSANZ considers</w:t>
      </w:r>
      <w:r w:rsidRPr="00720A23">
        <w:t xml:space="preserve"> </w:t>
      </w:r>
      <w:r>
        <w:t xml:space="preserve">that small </w:t>
      </w:r>
      <w:r w:rsidRPr="00720A23">
        <w:t xml:space="preserve">businesses </w:t>
      </w:r>
      <w:r>
        <w:t xml:space="preserve">would be the ones most affected by new </w:t>
      </w:r>
      <w:r w:rsidRPr="00720A23">
        <w:t>regulat</w:t>
      </w:r>
      <w:r>
        <w:t xml:space="preserve">ion. </w:t>
      </w:r>
      <w:r w:rsidRPr="00720A23">
        <w:t>Larger</w:t>
      </w:r>
      <w:r>
        <w:t>,</w:t>
      </w:r>
      <w:r w:rsidRPr="00720A23">
        <w:t xml:space="preserve"> more complex businesses </w:t>
      </w:r>
      <w:r>
        <w:t>are</w:t>
      </w:r>
      <w:r w:rsidRPr="00720A23">
        <w:t xml:space="preserve"> likely </w:t>
      </w:r>
      <w:r>
        <w:t xml:space="preserve">to </w:t>
      </w:r>
      <w:r w:rsidRPr="00720A23">
        <w:t xml:space="preserve">already have systems and processes in place that meet or exceed the </w:t>
      </w:r>
      <w:r>
        <w:t>proposed</w:t>
      </w:r>
      <w:r w:rsidRPr="00720A23">
        <w:t xml:space="preserve"> requirements</w:t>
      </w:r>
      <w:r>
        <w:t>.</w:t>
      </w:r>
    </w:p>
    <w:p w14:paraId="4588FC84" w14:textId="77777777" w:rsidR="00CB7716" w:rsidRDefault="00CB7716" w:rsidP="003B2774">
      <w:pPr>
        <w:spacing w:after="240"/>
      </w:pPr>
      <w:r>
        <w:t xml:space="preserve">The details underpinning the cost–benefit analysis are set out in </w:t>
      </w:r>
      <w:r w:rsidRPr="002B0592">
        <w:t>Appendix 1</w:t>
      </w:r>
      <w:r>
        <w:t>. We</w:t>
      </w:r>
      <w:r w:rsidDel="002054D5">
        <w:t xml:space="preserve"> </w:t>
      </w:r>
      <w:r>
        <w:t xml:space="preserve">drew heavily on previous work </w:t>
      </w:r>
      <w:r w:rsidDel="0007784D">
        <w:t>in this area</w:t>
      </w:r>
      <w:r>
        <w:t xml:space="preserve"> to develop key assumptions. The analysis is sensitive to a number of these assumptions; however, no additional evidence was provided by stakeholders to change the conclusion reached in the analysis presented in our</w:t>
      </w:r>
      <w:r w:rsidDel="002054D5">
        <w:t xml:space="preserve"> </w:t>
      </w:r>
      <w:r>
        <w:t xml:space="preserve">CRIS. </w:t>
      </w:r>
    </w:p>
    <w:p w14:paraId="334C234E" w14:textId="62D10F27" w:rsidR="00CB7716" w:rsidRDefault="00CB7716" w:rsidP="006D619E">
      <w:pPr>
        <w:pStyle w:val="Heading3"/>
        <w:numPr>
          <w:ilvl w:val="0"/>
          <w:numId w:val="0"/>
        </w:numPr>
        <w:ind w:left="720" w:hanging="720"/>
      </w:pPr>
      <w:bookmarkStart w:id="282" w:name="_Toc104808606"/>
      <w:bookmarkStart w:id="283" w:name="_Toc107412687"/>
      <w:bookmarkStart w:id="284" w:name="_Toc109300451"/>
      <w:r>
        <w:t>4.2</w:t>
      </w:r>
      <w:r>
        <w:tab/>
        <w:t>Option 1 – Maintain the status quo</w:t>
      </w:r>
      <w:bookmarkEnd w:id="279"/>
      <w:bookmarkEnd w:id="280"/>
      <w:bookmarkEnd w:id="281"/>
      <w:r>
        <w:t xml:space="preserve"> (abandon the proposal)</w:t>
      </w:r>
      <w:bookmarkEnd w:id="282"/>
      <w:bookmarkEnd w:id="283"/>
      <w:bookmarkEnd w:id="284"/>
    </w:p>
    <w:p w14:paraId="0AF32887" w14:textId="2A745B67" w:rsidR="00CB7716" w:rsidRDefault="00CB7716" w:rsidP="003B2774">
      <w:pPr>
        <w:spacing w:after="240"/>
      </w:pPr>
      <w:bookmarkStart w:id="285" w:name="_Toc426380833"/>
      <w:bookmarkStart w:id="286" w:name="_Toc426380898"/>
      <w:bookmarkStart w:id="287" w:name="_Toc426380929"/>
      <w:r>
        <w:t>Under the status quo option, proposal P1053 would be abandoned, and the current regulatory settings would continue. As noted above, food safety culture and educational initiatives would still continue under this option. While culture and education initiatives are important in increasing awareness and uptake of food safety practices, these measures alone are unlikely to reduce foodborne illness significantly.</w:t>
      </w:r>
    </w:p>
    <w:p w14:paraId="2D667792" w14:textId="289A957F" w:rsidR="00CB7716" w:rsidRDefault="00CB7716" w:rsidP="003B2774">
      <w:pPr>
        <w:spacing w:after="240"/>
      </w:pPr>
      <w:r w:rsidRPr="00AF5189">
        <w:t xml:space="preserve">Foodborne illness management occurs at an individual jurisdictional and business level. Food safety is managed by </w:t>
      </w:r>
      <w:r>
        <w:t>several</w:t>
      </w:r>
      <w:r w:rsidRPr="00AF5189">
        <w:t xml:space="preserve"> standards in the Code</w:t>
      </w:r>
      <w:r>
        <w:rPr>
          <w:lang w:eastAsia="en-AU"/>
        </w:rPr>
        <w:t xml:space="preserve">, which are </w:t>
      </w:r>
      <w:r>
        <w:t xml:space="preserve">largely outcomes-based rather than prescriptive. These standards are generally enforced by local governments. </w:t>
      </w:r>
    </w:p>
    <w:p w14:paraId="4F05DC2D" w14:textId="152EC251" w:rsidR="00CB7716" w:rsidRDefault="00CB7716" w:rsidP="003B2774">
      <w:pPr>
        <w:spacing w:after="240"/>
      </w:pPr>
      <w:r>
        <w:t>The food safety standards in Chapter 3 contain minimum food safety requirements designed to ensure a food business only sells food that is safe and suitable. Standard 3.2.2 outlines base requirements for good hygienic practices. It</w:t>
      </w:r>
      <w:r w:rsidRPr="00D72C86">
        <w:t xml:space="preserve"> specifies process control at each step of the food handling process</w:t>
      </w:r>
      <w:r>
        <w:t>, including</w:t>
      </w:r>
      <w:r w:rsidRPr="00D72C86">
        <w:t xml:space="preserve"> receipt, storage, processing, display, packaging, distribution</w:t>
      </w:r>
      <w:r>
        <w:t>,</w:t>
      </w:r>
      <w:r w:rsidRPr="00D72C86">
        <w:t xml:space="preserve"> disposal, and recall of food. Other requirements relate to skills and knowledge of food handlers and their supervisors, health and hygiene of food handlers, and the cleaning, sanitising, and maintenance of premises and equipment. </w:t>
      </w:r>
    </w:p>
    <w:p w14:paraId="2EDC96C5" w14:textId="722CD7CD" w:rsidR="00CB7716" w:rsidRDefault="00CB7716" w:rsidP="003B2774">
      <w:pPr>
        <w:spacing w:after="240"/>
      </w:pPr>
      <w:r>
        <w:t xml:space="preserve">The food safety standards are supported by the </w:t>
      </w:r>
      <w:r w:rsidRPr="68C0CA2D">
        <w:rPr>
          <w:i/>
          <w:iCs/>
        </w:rPr>
        <w:t>Safe Food Australia</w:t>
      </w:r>
      <w:r>
        <w:t xml:space="preserve"> guide</w:t>
      </w:r>
      <w:r w:rsidRPr="68C0CA2D">
        <w:rPr>
          <w:i/>
          <w:iCs/>
        </w:rPr>
        <w:t>,</w:t>
      </w:r>
      <w:r>
        <w:t xml:space="preserve"> which provides examples of how businesses could meet requirements. However, this guide and the best practice examples are not mandatory.</w:t>
      </w:r>
    </w:p>
    <w:p w14:paraId="5F90D709" w14:textId="77777777" w:rsidR="00CB7716" w:rsidRDefault="00CB7716" w:rsidP="003B2774">
      <w:pPr>
        <w:spacing w:after="240"/>
      </w:pPr>
      <w:r w:rsidRPr="000B073D">
        <w:rPr>
          <w:i/>
        </w:rPr>
        <w:t xml:space="preserve">Safe Food Australia </w:t>
      </w:r>
      <w:r w:rsidRPr="00BA1B61">
        <w:t>(FSANZ, 2016)</w:t>
      </w:r>
      <w:r>
        <w:rPr>
          <w:i/>
        </w:rPr>
        <w:t xml:space="preserve"> </w:t>
      </w:r>
      <w:r>
        <w:t>does not suggest businesses have FSS where they are not currently mandated by the Code. It</w:t>
      </w:r>
      <w:r w:rsidDel="009508FB">
        <w:t xml:space="preserve"> </w:t>
      </w:r>
      <w:r>
        <w:t>notes that all food handlers (including any FSS) must have the skills and knowledge in food safety and hygiene commensurate with their responsibilities. It also outlines examples of how staff could gain the required skills and knowledge, listed below:</w:t>
      </w:r>
    </w:p>
    <w:p w14:paraId="52965B72" w14:textId="77777777" w:rsidR="00CB7716" w:rsidRPr="00653065" w:rsidRDefault="00CB7716" w:rsidP="00614AF5">
      <w:pPr>
        <w:pStyle w:val="ListParagraph"/>
        <w:numPr>
          <w:ilvl w:val="0"/>
          <w:numId w:val="76"/>
        </w:numPr>
        <w:spacing w:after="240"/>
      </w:pPr>
      <w:r w:rsidRPr="00653065">
        <w:t xml:space="preserve">in-house training </w:t>
      </w:r>
    </w:p>
    <w:p w14:paraId="6D3F02D2" w14:textId="77777777" w:rsidR="00CB7716" w:rsidRPr="00653065" w:rsidRDefault="00CB7716" w:rsidP="00614AF5">
      <w:pPr>
        <w:pStyle w:val="ListParagraph"/>
        <w:numPr>
          <w:ilvl w:val="0"/>
          <w:numId w:val="76"/>
        </w:numPr>
        <w:spacing w:after="240"/>
      </w:pPr>
      <w:r w:rsidRPr="00653065">
        <w:t xml:space="preserve">distribution of relevant documentation to employees </w:t>
      </w:r>
    </w:p>
    <w:p w14:paraId="255C2D66" w14:textId="77777777" w:rsidR="00CB7716" w:rsidRPr="00653065" w:rsidRDefault="00CB7716" w:rsidP="00614AF5">
      <w:pPr>
        <w:pStyle w:val="ListParagraph"/>
        <w:numPr>
          <w:ilvl w:val="0"/>
          <w:numId w:val="76"/>
        </w:numPr>
        <w:spacing w:after="240"/>
      </w:pPr>
      <w:r w:rsidRPr="00653065">
        <w:t xml:space="preserve">having operating procedures in place that clarify the responsibilities of food handlers and supervisors </w:t>
      </w:r>
    </w:p>
    <w:p w14:paraId="5C466650" w14:textId="77777777" w:rsidR="00CB7716" w:rsidRPr="00653065" w:rsidRDefault="00CB7716" w:rsidP="00614AF5">
      <w:pPr>
        <w:pStyle w:val="ListParagraph"/>
        <w:numPr>
          <w:ilvl w:val="0"/>
          <w:numId w:val="76"/>
        </w:numPr>
        <w:spacing w:after="240"/>
      </w:pPr>
      <w:r w:rsidRPr="00653065">
        <w:t xml:space="preserve">attendance at food safety courses run by local councils or other bodies </w:t>
      </w:r>
    </w:p>
    <w:p w14:paraId="13CFF71D" w14:textId="77777777" w:rsidR="00CB7716" w:rsidRPr="00653065" w:rsidRDefault="00CB7716" w:rsidP="00614AF5">
      <w:pPr>
        <w:pStyle w:val="ListParagraph"/>
        <w:numPr>
          <w:ilvl w:val="0"/>
          <w:numId w:val="76"/>
        </w:numPr>
        <w:spacing w:after="240"/>
      </w:pPr>
      <w:r w:rsidRPr="00653065">
        <w:lastRenderedPageBreak/>
        <w:t xml:space="preserve">completion of online food safety training courses </w:t>
      </w:r>
    </w:p>
    <w:p w14:paraId="2C47C42A" w14:textId="77777777" w:rsidR="00CB7716" w:rsidRPr="00653065" w:rsidRDefault="00CB7716" w:rsidP="00614AF5">
      <w:pPr>
        <w:pStyle w:val="ListParagraph"/>
        <w:numPr>
          <w:ilvl w:val="0"/>
          <w:numId w:val="76"/>
        </w:numPr>
        <w:spacing w:after="240"/>
      </w:pPr>
      <w:r w:rsidRPr="00653065">
        <w:t xml:space="preserve">hiring a consultant to present a course </w:t>
      </w:r>
    </w:p>
    <w:p w14:paraId="583D54AD" w14:textId="77777777" w:rsidR="00CB7716" w:rsidRPr="00653065" w:rsidRDefault="00CB7716" w:rsidP="00614AF5">
      <w:pPr>
        <w:pStyle w:val="ListParagraph"/>
        <w:numPr>
          <w:ilvl w:val="0"/>
          <w:numId w:val="76"/>
        </w:numPr>
        <w:spacing w:after="240"/>
      </w:pPr>
      <w:r w:rsidRPr="00653065">
        <w:t xml:space="preserve">formal training courses. </w:t>
      </w:r>
    </w:p>
    <w:p w14:paraId="43E64D62" w14:textId="3CA6FB30" w:rsidR="00CB7716" w:rsidRDefault="00CB7716" w:rsidP="003B2774">
      <w:pPr>
        <w:spacing w:after="240"/>
      </w:pPr>
      <w:r>
        <w:t xml:space="preserve">The guide recommends best practice is to monitor and record the outcome of processes important for food safety, such as time and temperature controls. This is recommended to help businesses in managing their high-risk activities, and in demonstrating compliance to food regulators. </w:t>
      </w:r>
    </w:p>
    <w:p w14:paraId="0E64BD72" w14:textId="6D3814C4" w:rsidR="00643567" w:rsidRDefault="00CB7716" w:rsidP="003B2774">
      <w:pPr>
        <w:spacing w:after="240"/>
      </w:pPr>
      <w:r w:rsidRPr="00AF5189">
        <w:t xml:space="preserve">In the absence of an agreed national approach, several jurisdictions </w:t>
      </w:r>
      <w:r>
        <w:t xml:space="preserve">have </w:t>
      </w:r>
      <w:r w:rsidRPr="00AF5189">
        <w:t xml:space="preserve">moved unilaterally to manage risks associated with the </w:t>
      </w:r>
      <w:r>
        <w:t>food service</w:t>
      </w:r>
      <w:r w:rsidRPr="00AF5189">
        <w:t xml:space="preserve"> </w:t>
      </w:r>
      <w:r>
        <w:t>and retail sectors,</w:t>
      </w:r>
      <w:r w:rsidRPr="00AF5189">
        <w:t xml:space="preserve"> </w:t>
      </w:r>
      <w:r>
        <w:t>through additional</w:t>
      </w:r>
      <w:r w:rsidRPr="00AF5189">
        <w:t xml:space="preserve"> requirements in their respective </w:t>
      </w:r>
      <w:r>
        <w:t>f</w:t>
      </w:r>
      <w:r w:rsidRPr="00AF5189">
        <w:t xml:space="preserve">ood </w:t>
      </w:r>
      <w:r>
        <w:t>a</w:t>
      </w:r>
      <w:r w:rsidRPr="00AF5189">
        <w:t>cts</w:t>
      </w:r>
      <w:r>
        <w:t xml:space="preserve"> (Table 2).</w:t>
      </w:r>
    </w:p>
    <w:p w14:paraId="56000520" w14:textId="77777777" w:rsidR="00CB7716" w:rsidRPr="00D919F1" w:rsidRDefault="00CB7716" w:rsidP="00CB7716">
      <w:pPr>
        <w:pStyle w:val="Caption"/>
        <w:keepNext/>
        <w:rPr>
          <w:b/>
          <w:color w:val="auto"/>
          <w:sz w:val="20"/>
          <w:szCs w:val="20"/>
        </w:rPr>
      </w:pPr>
      <w:r w:rsidRPr="00D919F1">
        <w:rPr>
          <w:b/>
          <w:color w:val="auto"/>
          <w:sz w:val="20"/>
          <w:szCs w:val="20"/>
        </w:rPr>
        <w:t>Table 2: Additional* food safety management measures regulated by some jurisdictions</w:t>
      </w:r>
    </w:p>
    <w:tbl>
      <w:tblPr>
        <w:tblStyle w:val="TableClassic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703"/>
        <w:gridCol w:w="1700"/>
        <w:gridCol w:w="1703"/>
        <w:gridCol w:w="1703"/>
      </w:tblGrid>
      <w:tr w:rsidR="00CB7716" w14:paraId="6D8AD0BD" w14:textId="77777777" w:rsidTr="006E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59D17869" w14:textId="77777777" w:rsidR="00CB7716" w:rsidRDefault="00CB7716" w:rsidP="00CB7716">
            <w:pPr>
              <w:pStyle w:val="FSTableColumnRowheading"/>
              <w:spacing w:before="85" w:after="85"/>
            </w:pPr>
            <w:r>
              <w:t>Tool / Jurisdiction</w:t>
            </w:r>
          </w:p>
        </w:tc>
        <w:tc>
          <w:tcPr>
            <w:tcW w:w="1703" w:type="dxa"/>
          </w:tcPr>
          <w:p w14:paraId="5405418A" w14:textId="77777777" w:rsidR="00CB7716" w:rsidRDefault="00CB7716" w:rsidP="00CB7716">
            <w:pPr>
              <w:pStyle w:val="FSTableColumnRowheading"/>
              <w:spacing w:before="85" w:after="85"/>
              <w:cnfStyle w:val="100000000000" w:firstRow="1" w:lastRow="0" w:firstColumn="0" w:lastColumn="0" w:oddVBand="0" w:evenVBand="0" w:oddHBand="0" w:evenHBand="0" w:firstRowFirstColumn="0" w:firstRowLastColumn="0" w:lastRowFirstColumn="0" w:lastRowLastColumn="0"/>
            </w:pPr>
            <w:r>
              <w:t>Victoria</w:t>
            </w:r>
          </w:p>
        </w:tc>
        <w:tc>
          <w:tcPr>
            <w:tcW w:w="1700" w:type="dxa"/>
          </w:tcPr>
          <w:p w14:paraId="68B02C76" w14:textId="77777777" w:rsidR="00CB7716" w:rsidRDefault="00CB7716" w:rsidP="00CB7716">
            <w:pPr>
              <w:pStyle w:val="FSTableColumnRowheading"/>
              <w:spacing w:before="85" w:after="85"/>
              <w:cnfStyle w:val="100000000000" w:firstRow="1" w:lastRow="0" w:firstColumn="0" w:lastColumn="0" w:oddVBand="0" w:evenVBand="0" w:oddHBand="0" w:evenHBand="0" w:firstRowFirstColumn="0" w:firstRowLastColumn="0" w:lastRowFirstColumn="0" w:lastRowLastColumn="0"/>
            </w:pPr>
            <w:r>
              <w:t>NSW</w:t>
            </w:r>
          </w:p>
        </w:tc>
        <w:tc>
          <w:tcPr>
            <w:tcW w:w="1703" w:type="dxa"/>
          </w:tcPr>
          <w:p w14:paraId="49A6A932" w14:textId="77777777" w:rsidR="00CB7716" w:rsidRDefault="00CB7716" w:rsidP="00CB7716">
            <w:pPr>
              <w:pStyle w:val="FSTableColumnRowheading"/>
              <w:spacing w:before="85" w:after="85"/>
              <w:cnfStyle w:val="100000000000" w:firstRow="1" w:lastRow="0" w:firstColumn="0" w:lastColumn="0" w:oddVBand="0" w:evenVBand="0" w:oddHBand="0" w:evenHBand="0" w:firstRowFirstColumn="0" w:firstRowLastColumn="0" w:lastRowFirstColumn="0" w:lastRowLastColumn="0"/>
            </w:pPr>
            <w:r>
              <w:t>Queensland</w:t>
            </w:r>
          </w:p>
        </w:tc>
        <w:tc>
          <w:tcPr>
            <w:tcW w:w="1703" w:type="dxa"/>
          </w:tcPr>
          <w:p w14:paraId="19B5C672" w14:textId="77777777" w:rsidR="00CB7716" w:rsidRDefault="00CB7716" w:rsidP="00CB7716">
            <w:pPr>
              <w:pStyle w:val="FSTableColumnRowheading"/>
              <w:spacing w:before="85" w:after="85"/>
              <w:cnfStyle w:val="100000000000" w:firstRow="1" w:lastRow="0" w:firstColumn="0" w:lastColumn="0" w:oddVBand="0" w:evenVBand="0" w:oddHBand="0" w:evenHBand="0" w:firstRowFirstColumn="0" w:firstRowLastColumn="0" w:lastRowFirstColumn="0" w:lastRowLastColumn="0"/>
            </w:pPr>
            <w:r>
              <w:t>ACT</w:t>
            </w:r>
          </w:p>
        </w:tc>
      </w:tr>
      <w:tr w:rsidR="00CB7716" w14:paraId="15193A71"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0176CDE3" w14:textId="77777777" w:rsidR="00CB7716" w:rsidRPr="006E77ED" w:rsidRDefault="00CB7716" w:rsidP="00CB7716">
            <w:pPr>
              <w:pStyle w:val="TableText"/>
              <w:spacing w:before="85" w:after="85"/>
              <w:rPr>
                <w:b/>
              </w:rPr>
            </w:pPr>
            <w:r w:rsidRPr="006E77ED">
              <w:rPr>
                <w:b/>
              </w:rPr>
              <w:t>Food safety supervisor</w:t>
            </w:r>
          </w:p>
        </w:tc>
        <w:tc>
          <w:tcPr>
            <w:tcW w:w="1703" w:type="dxa"/>
          </w:tcPr>
          <w:p w14:paraId="45C52E3E"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0" w:type="dxa"/>
          </w:tcPr>
          <w:p w14:paraId="388BE3E1"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3" w:type="dxa"/>
          </w:tcPr>
          <w:p w14:paraId="69B20E7F"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3" w:type="dxa"/>
          </w:tcPr>
          <w:p w14:paraId="6EE2FD38"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r>
      <w:tr w:rsidR="00CB7716" w14:paraId="0A5DF389"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03E3C683" w14:textId="77777777" w:rsidR="00CB7716" w:rsidRPr="006E77ED" w:rsidRDefault="00CB7716" w:rsidP="00CB7716">
            <w:pPr>
              <w:pStyle w:val="TableText"/>
              <w:spacing w:before="85" w:after="85"/>
              <w:rPr>
                <w:b/>
              </w:rPr>
            </w:pPr>
            <w:r w:rsidRPr="006E77ED">
              <w:rPr>
                <w:b/>
              </w:rPr>
              <w:t xml:space="preserve">Food safety supervisor (competency training) </w:t>
            </w:r>
          </w:p>
        </w:tc>
        <w:tc>
          <w:tcPr>
            <w:tcW w:w="1703" w:type="dxa"/>
          </w:tcPr>
          <w:p w14:paraId="544351AD"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0" w:type="dxa"/>
          </w:tcPr>
          <w:p w14:paraId="35A13BA1"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3" w:type="dxa"/>
          </w:tcPr>
          <w:p w14:paraId="05796AE8"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c>
          <w:tcPr>
            <w:tcW w:w="1703" w:type="dxa"/>
          </w:tcPr>
          <w:p w14:paraId="1E06EA79"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yes</w:t>
            </w:r>
          </w:p>
        </w:tc>
      </w:tr>
      <w:tr w:rsidR="00CB7716" w14:paraId="78213C74"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51547E80" w14:textId="77777777" w:rsidR="00CB7716" w:rsidRPr="006E77ED" w:rsidRDefault="00CB7716" w:rsidP="00CB7716">
            <w:pPr>
              <w:pStyle w:val="TableText"/>
              <w:spacing w:before="85" w:after="85"/>
              <w:rPr>
                <w:b/>
              </w:rPr>
            </w:pPr>
            <w:r w:rsidRPr="006E77ED">
              <w:rPr>
                <w:b/>
              </w:rPr>
              <w:t>Food handler training</w:t>
            </w:r>
          </w:p>
          <w:p w14:paraId="3185C307" w14:textId="77777777" w:rsidR="00CB7716" w:rsidRPr="006E77ED" w:rsidRDefault="00CB7716" w:rsidP="00CB7716">
            <w:pPr>
              <w:pStyle w:val="TableText"/>
              <w:spacing w:before="85" w:after="85"/>
              <w:rPr>
                <w:b/>
              </w:rPr>
            </w:pPr>
            <w:r w:rsidRPr="006E77ED">
              <w:rPr>
                <w:b/>
              </w:rPr>
              <w:t>(non-competency)</w:t>
            </w:r>
          </w:p>
        </w:tc>
        <w:tc>
          <w:tcPr>
            <w:tcW w:w="1703" w:type="dxa"/>
          </w:tcPr>
          <w:p w14:paraId="7397A4CD"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c>
          <w:tcPr>
            <w:tcW w:w="1700" w:type="dxa"/>
          </w:tcPr>
          <w:p w14:paraId="1B9A54B2"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c>
          <w:tcPr>
            <w:tcW w:w="1703" w:type="dxa"/>
          </w:tcPr>
          <w:p w14:paraId="0AAFECD6"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c>
          <w:tcPr>
            <w:tcW w:w="1703" w:type="dxa"/>
          </w:tcPr>
          <w:p w14:paraId="1A1D7BC0"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r>
      <w:tr w:rsidR="00CB7716" w14:paraId="45C69F7C"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2E1927D3" w14:textId="77777777" w:rsidR="00CB7716" w:rsidRPr="006E77ED" w:rsidRDefault="00CB7716" w:rsidP="00CB7716">
            <w:pPr>
              <w:pStyle w:val="TableText"/>
              <w:spacing w:before="85" w:after="85"/>
              <w:rPr>
                <w:b/>
              </w:rPr>
            </w:pPr>
            <w:r w:rsidRPr="006E77ED">
              <w:rPr>
                <w:b/>
              </w:rPr>
              <w:t>Evidence of food safety management</w:t>
            </w:r>
          </w:p>
        </w:tc>
        <w:tc>
          <w:tcPr>
            <w:tcW w:w="1703" w:type="dxa"/>
          </w:tcPr>
          <w:p w14:paraId="1619A2E5"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template-based food safety programs</w:t>
            </w:r>
          </w:p>
        </w:tc>
        <w:tc>
          <w:tcPr>
            <w:tcW w:w="1700" w:type="dxa"/>
          </w:tcPr>
          <w:p w14:paraId="708AEB7A" w14:textId="77777777" w:rsidR="00CB7716" w:rsidRPr="004F3242"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4F3242">
              <w:t>for raw egg handling</w:t>
            </w:r>
          </w:p>
        </w:tc>
        <w:tc>
          <w:tcPr>
            <w:tcW w:w="1703" w:type="dxa"/>
          </w:tcPr>
          <w:p w14:paraId="1C78A1AE"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template-based food safety programs</w:t>
            </w:r>
          </w:p>
        </w:tc>
        <w:tc>
          <w:tcPr>
            <w:tcW w:w="1703" w:type="dxa"/>
          </w:tcPr>
          <w:p w14:paraId="5ADF5B83"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no</w:t>
            </w:r>
          </w:p>
        </w:tc>
      </w:tr>
      <w:tr w:rsidR="00CB7716" w14:paraId="003578CD" w14:textId="77777777" w:rsidTr="006E77ED">
        <w:tc>
          <w:tcPr>
            <w:cnfStyle w:val="001000000000" w:firstRow="0" w:lastRow="0" w:firstColumn="1" w:lastColumn="0" w:oddVBand="0" w:evenVBand="0" w:oddHBand="0" w:evenHBand="0" w:firstRowFirstColumn="0" w:firstRowLastColumn="0" w:lastRowFirstColumn="0" w:lastRowLastColumn="0"/>
            <w:tcW w:w="2207" w:type="dxa"/>
          </w:tcPr>
          <w:p w14:paraId="6FE12B4A" w14:textId="77777777" w:rsidR="00CB7716" w:rsidRPr="006E77ED" w:rsidRDefault="00CB7716" w:rsidP="00CB7716">
            <w:pPr>
              <w:pStyle w:val="TableText"/>
              <w:spacing w:before="85" w:after="85"/>
              <w:rPr>
                <w:b/>
              </w:rPr>
            </w:pPr>
            <w:r w:rsidRPr="006E77ED">
              <w:rPr>
                <w:b/>
              </w:rPr>
              <w:t>Target businesses</w:t>
            </w:r>
          </w:p>
        </w:tc>
        <w:tc>
          <w:tcPr>
            <w:tcW w:w="1703" w:type="dxa"/>
          </w:tcPr>
          <w:p w14:paraId="2C46AE85"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class 1 and class 2 businesses</w:t>
            </w:r>
            <w:r w:rsidRPr="00AF5189">
              <w:rPr>
                <w:vertAlign w:val="superscript"/>
              </w:rPr>
              <w:footnoteReference w:id="29"/>
            </w:r>
          </w:p>
        </w:tc>
        <w:tc>
          <w:tcPr>
            <w:tcW w:w="1700" w:type="dxa"/>
          </w:tcPr>
          <w:p w14:paraId="2EA1E8E1" w14:textId="77777777" w:rsidR="00CB7716" w:rsidRPr="004F3242"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t>b</w:t>
            </w:r>
            <w:r w:rsidRPr="004F3242">
              <w:t xml:space="preserve">usinesses serving ready-to-eat </w:t>
            </w:r>
            <w:r>
              <w:t xml:space="preserve">PHF which are </w:t>
            </w:r>
            <w:r w:rsidRPr="004F3242">
              <w:t>not sold and served in their package</w:t>
            </w:r>
          </w:p>
        </w:tc>
        <w:tc>
          <w:tcPr>
            <w:tcW w:w="1703" w:type="dxa"/>
          </w:tcPr>
          <w:p w14:paraId="146FBAEF"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businesses which meet specific food service or catering criteria</w:t>
            </w:r>
            <w:r w:rsidRPr="00AF5189">
              <w:rPr>
                <w:vertAlign w:val="superscript"/>
              </w:rPr>
              <w:footnoteReference w:id="30"/>
            </w:r>
          </w:p>
        </w:tc>
        <w:tc>
          <w:tcPr>
            <w:tcW w:w="1703" w:type="dxa"/>
          </w:tcPr>
          <w:p w14:paraId="1D632956" w14:textId="77777777" w:rsidR="00CB7716" w:rsidRDefault="00CB7716" w:rsidP="00CB7716">
            <w:pPr>
              <w:pStyle w:val="TableText"/>
              <w:spacing w:before="85" w:after="85"/>
              <w:cnfStyle w:val="000000000000" w:firstRow="0" w:lastRow="0" w:firstColumn="0" w:lastColumn="0" w:oddVBand="0" w:evenVBand="0" w:oddHBand="0" w:evenHBand="0" w:firstRowFirstColumn="0" w:firstRowLastColumn="0" w:lastRowFirstColumn="0" w:lastRowLastColumn="0"/>
            </w:pPr>
            <w:r w:rsidRPr="00AF5189">
              <w:t xml:space="preserve">all </w:t>
            </w:r>
            <w:r>
              <w:t>registered</w:t>
            </w:r>
            <w:r w:rsidRPr="00AF5189">
              <w:t xml:space="preserve"> food businesses</w:t>
            </w:r>
            <w:r>
              <w:rPr>
                <w:rStyle w:val="FootnoteReference"/>
              </w:rPr>
              <w:footnoteReference w:id="31"/>
            </w:r>
          </w:p>
        </w:tc>
      </w:tr>
    </w:tbl>
    <w:p w14:paraId="1E67F890" w14:textId="77777777" w:rsidR="00CB7716" w:rsidRPr="002B0592" w:rsidRDefault="00CB7716" w:rsidP="00CB7716">
      <w:pPr>
        <w:rPr>
          <w:sz w:val="20"/>
        </w:rPr>
      </w:pPr>
      <w:r>
        <w:rPr>
          <w:sz w:val="20"/>
        </w:rPr>
        <w:t>*A</w:t>
      </w:r>
      <w:r w:rsidRPr="002B0592">
        <w:rPr>
          <w:sz w:val="20"/>
        </w:rPr>
        <w:t>ddition</w:t>
      </w:r>
      <w:r>
        <w:rPr>
          <w:sz w:val="20"/>
        </w:rPr>
        <w:t>al</w:t>
      </w:r>
      <w:r w:rsidRPr="002B0592">
        <w:rPr>
          <w:sz w:val="20"/>
        </w:rPr>
        <w:t xml:space="preserve"> to </w:t>
      </w:r>
      <w:r>
        <w:rPr>
          <w:sz w:val="20"/>
        </w:rPr>
        <w:t xml:space="preserve">national </w:t>
      </w:r>
      <w:r w:rsidRPr="002B0592">
        <w:rPr>
          <w:sz w:val="20"/>
        </w:rPr>
        <w:t xml:space="preserve">requirements in </w:t>
      </w:r>
      <w:r>
        <w:rPr>
          <w:sz w:val="20"/>
        </w:rPr>
        <w:t>Chapter 3 standards in the</w:t>
      </w:r>
      <w:r w:rsidRPr="002B0592">
        <w:rPr>
          <w:sz w:val="20"/>
        </w:rPr>
        <w:t xml:space="preserve"> Code</w:t>
      </w:r>
      <w:r>
        <w:rPr>
          <w:sz w:val="20"/>
        </w:rPr>
        <w:t>.</w:t>
      </w:r>
    </w:p>
    <w:p w14:paraId="27584591" w14:textId="77777777" w:rsidR="00F72B9F" w:rsidRDefault="00F72B9F" w:rsidP="00CB7716">
      <w:pPr>
        <w:rPr>
          <w:lang w:eastAsia="en-AU"/>
        </w:rPr>
      </w:pPr>
    </w:p>
    <w:p w14:paraId="15B7669C" w14:textId="4A4DD7B0" w:rsidR="00CB7716" w:rsidRDefault="00CB7716" w:rsidP="003B2774">
      <w:pPr>
        <w:spacing w:after="240"/>
        <w:rPr>
          <w:lang w:eastAsia="en-AU"/>
        </w:rPr>
      </w:pPr>
      <w:r>
        <w:rPr>
          <w:lang w:eastAsia="en-AU"/>
        </w:rPr>
        <w:t>These</w:t>
      </w:r>
      <w:r w:rsidDel="009508FB">
        <w:rPr>
          <w:lang w:eastAsia="en-AU"/>
        </w:rPr>
        <w:t xml:space="preserve"> </w:t>
      </w:r>
      <w:r>
        <w:rPr>
          <w:lang w:eastAsia="en-AU"/>
        </w:rPr>
        <w:t xml:space="preserve">jurisdictional </w:t>
      </w:r>
      <w:r w:rsidRPr="00D62958">
        <w:rPr>
          <w:lang w:eastAsia="en-AU"/>
        </w:rPr>
        <w:t>arrangements</w:t>
      </w:r>
      <w:r>
        <w:rPr>
          <w:lang w:eastAsia="en-AU"/>
        </w:rPr>
        <w:t xml:space="preserve"> have some similarities. For instance, all require FSS to have competency-</w:t>
      </w:r>
      <w:r>
        <w:rPr>
          <w:lang w:eastAsia="en-AU"/>
        </w:rPr>
        <w:noBreakHyphen/>
        <w:t>based training by a registered training organisation, and all cover hospitality businesses (restaurants, cafes and hotels). However, there are differences across the arrangements. In particular, the range of food businesses covered differs</w:t>
      </w:r>
      <w:r w:rsidDel="00D66A38">
        <w:rPr>
          <w:lang w:eastAsia="en-AU"/>
        </w:rPr>
        <w:t>,</w:t>
      </w:r>
      <w:r>
        <w:rPr>
          <w:lang w:eastAsia="en-AU"/>
        </w:rPr>
        <w:t xml:space="preserve"> the validity of; the FSS qualification varies between five years and no expiry; and the required competency units differ. Additionally, the FSS certification from an RTO is set out in legislation in some jurisdictions and in guidance material in others. </w:t>
      </w:r>
      <w:r w:rsidRPr="006F0709">
        <w:rPr>
          <w:lang w:eastAsia="en-AU"/>
        </w:rPr>
        <w:t>A full compa</w:t>
      </w:r>
      <w:r>
        <w:rPr>
          <w:lang w:eastAsia="en-AU"/>
        </w:rPr>
        <w:t>rison is provided in section 4.4</w:t>
      </w:r>
      <w:r w:rsidRPr="006F0709">
        <w:rPr>
          <w:lang w:eastAsia="en-AU"/>
        </w:rPr>
        <w:t>.</w:t>
      </w:r>
    </w:p>
    <w:p w14:paraId="37E83CAC" w14:textId="07969263" w:rsidR="00CB7716" w:rsidRDefault="00CB7716" w:rsidP="003B2774">
      <w:pPr>
        <w:spacing w:after="240"/>
        <w:rPr>
          <w:lang w:eastAsia="en-AU"/>
        </w:rPr>
      </w:pPr>
      <w:r>
        <w:rPr>
          <w:lang w:eastAsia="en-AU"/>
        </w:rPr>
        <w:t xml:space="preserve">This option is the point of reference against which the other options were compared. </w:t>
      </w:r>
      <w:r>
        <w:rPr>
          <w:lang w:eastAsia="en-AU"/>
        </w:rPr>
        <w:lastRenderedPageBreak/>
        <w:t xml:space="preserve">Abandoning this proposal does not address the problem of persistent foodborne illness outbreaks associated with the food service and related retail businesses, nor the costs for business of inconsistent legislation across jurisdictions. </w:t>
      </w:r>
    </w:p>
    <w:p w14:paraId="636C6FB1" w14:textId="1424E5C6" w:rsidR="00CB7716" w:rsidRPr="00F72B9F" w:rsidRDefault="00CB7716" w:rsidP="003B2774">
      <w:pPr>
        <w:spacing w:after="240"/>
        <w:rPr>
          <w:lang w:eastAsia="en-AU"/>
        </w:rPr>
      </w:pPr>
      <w:r w:rsidRPr="00F72B9F">
        <w:rPr>
          <w:lang w:eastAsia="en-AU"/>
        </w:rPr>
        <w:t>Stakeholders’ views were sought on our consideration of the status quo, particularly whether there were any other costs or benefits that should be taken into account. Diverse views were provided by</w:t>
      </w:r>
      <w:r w:rsidR="0081747A">
        <w:rPr>
          <w:lang w:eastAsia="en-AU"/>
        </w:rPr>
        <w:t xml:space="preserve"> </w:t>
      </w:r>
      <w:r w:rsidRPr="00F72B9F">
        <w:rPr>
          <w:lang w:eastAsia="en-AU"/>
        </w:rPr>
        <w:t>stakeholders. Some suggested the status quo be maintained for a few more years to enable industry to rebuild before introducing regulatory requirements. Others noted concern that the status quo would not lead to improvements in food safety.</w:t>
      </w:r>
    </w:p>
    <w:p w14:paraId="5205D801" w14:textId="495B4F2E" w:rsidR="00CB7716" w:rsidRDefault="00CB7716" w:rsidP="003B2774">
      <w:pPr>
        <w:spacing w:after="240"/>
        <w:rPr>
          <w:lang w:eastAsia="en-AU"/>
        </w:rPr>
      </w:pPr>
      <w:r w:rsidRPr="68C0CA2D">
        <w:rPr>
          <w:lang w:eastAsia="en-AU"/>
        </w:rPr>
        <w:t xml:space="preserve">FSANZ’s assessment is that the 12-month commencement period takes into account time needed to prepare for introduction of regulatory requirements, which are needed to address the ongoing foodborne illness associated with </w:t>
      </w:r>
      <w:r w:rsidRPr="48861835">
        <w:rPr>
          <w:lang w:eastAsia="en-AU"/>
        </w:rPr>
        <w:t>these sectors.</w:t>
      </w:r>
      <w:r w:rsidRPr="68C0CA2D">
        <w:rPr>
          <w:lang w:eastAsia="en-AU"/>
        </w:rPr>
        <w:t xml:space="preserve"> Therefore, option 1 is not the preferred option.</w:t>
      </w:r>
    </w:p>
    <w:p w14:paraId="453C7E1F" w14:textId="4C82F2D4" w:rsidR="00CB7716" w:rsidRDefault="00CB7716" w:rsidP="006D619E">
      <w:pPr>
        <w:pStyle w:val="Heading3"/>
        <w:numPr>
          <w:ilvl w:val="0"/>
          <w:numId w:val="0"/>
        </w:numPr>
        <w:ind w:left="720" w:hanging="720"/>
      </w:pPr>
      <w:bookmarkStart w:id="288" w:name="_Toc104808607"/>
      <w:bookmarkStart w:id="289" w:name="_Toc107412688"/>
      <w:bookmarkStart w:id="290" w:name="_Toc109300452"/>
      <w:r>
        <w:t>4</w:t>
      </w:r>
      <w:r w:rsidRPr="00D15F61">
        <w:t>.</w:t>
      </w:r>
      <w:r>
        <w:t>3</w:t>
      </w:r>
      <w:r w:rsidRPr="00D15F61">
        <w:tab/>
      </w:r>
      <w:r>
        <w:t>Option 2 – Self-regulation</w:t>
      </w:r>
      <w:bookmarkEnd w:id="288"/>
      <w:bookmarkEnd w:id="289"/>
      <w:bookmarkEnd w:id="290"/>
    </w:p>
    <w:p w14:paraId="3CBF4A59" w14:textId="48ABD733" w:rsidR="00CB7716" w:rsidRDefault="00CB7716" w:rsidP="003B2774">
      <w:pPr>
        <w:spacing w:after="240"/>
      </w:pPr>
      <w:r>
        <w:t xml:space="preserve">Jurisdictions anecdotally report non-compliances with Standard 3.2.2 are significant contributors to foodborne illness from the food service and related retail sectors. Poor temperature control, inadequate cleanliness and a lack of hygiene skills and knowledge are common reported non-compliances. These occur despite enforcement action applied by regulators, against current but inadequate regulatory requirements, and best practice guidelines (e.g. in </w:t>
      </w:r>
      <w:r w:rsidRPr="68C0CA2D">
        <w:rPr>
          <w:i/>
          <w:iCs/>
        </w:rPr>
        <w:t>Safe Food Australia</w:t>
      </w:r>
      <w:r>
        <w:t xml:space="preserve">). </w:t>
      </w:r>
    </w:p>
    <w:p w14:paraId="1193FF11" w14:textId="184A1201" w:rsidR="00CB7716" w:rsidRDefault="00CB7716" w:rsidP="003B2774">
      <w:pPr>
        <w:spacing w:after="240"/>
      </w:pPr>
      <w:r>
        <w:t xml:space="preserve">Where there is persistent </w:t>
      </w:r>
      <w:r w:rsidRPr="00A41684">
        <w:t>non-compliance and high risk of serious and widespread harm to consumers</w:t>
      </w:r>
      <w:r>
        <w:t xml:space="preserve"> (e.g. as with foodborne illness)</w:t>
      </w:r>
      <w:r w:rsidRPr="00A41684">
        <w:t>, self-re</w:t>
      </w:r>
      <w:r>
        <w:t>gulation is not considered</w:t>
      </w:r>
      <w:r w:rsidRPr="00A41684">
        <w:t xml:space="preserve"> an appropriate solution (Treasury Taskforce</w:t>
      </w:r>
      <w:r>
        <w:t>,</w:t>
      </w:r>
      <w:r w:rsidRPr="00A41684">
        <w:t xml:space="preserve"> 2000). Greater control over food handling practices</w:t>
      </w:r>
      <w:r w:rsidRPr="009210FC">
        <w:t xml:space="preserve"> </w:t>
      </w:r>
      <w:r w:rsidRPr="00A41684">
        <w:t xml:space="preserve">is </w:t>
      </w:r>
      <w:r>
        <w:t>needed</w:t>
      </w:r>
      <w:r w:rsidRPr="00A41684">
        <w:t xml:space="preserve">, especially with businesses that sell </w:t>
      </w:r>
      <w:r>
        <w:t>PHF</w:t>
      </w:r>
      <w:r w:rsidRPr="00A41684">
        <w:t xml:space="preserve">. </w:t>
      </w:r>
    </w:p>
    <w:p w14:paraId="75ACF4A2" w14:textId="5DD1B935" w:rsidR="00CB7716" w:rsidRDefault="00CB7716" w:rsidP="003B2774">
      <w:pPr>
        <w:spacing w:after="240"/>
      </w:pPr>
      <w:r>
        <w:t>The food service and retail sectors cover a broad range of business types with many small-to-medium enterprises and a transient workforce, and not affiliated with industry associations. Unlike other sectors, these businesses are not a cohesive group with like-minded participants. The</w:t>
      </w:r>
      <w:r w:rsidDel="005D5F6B">
        <w:t xml:space="preserve"> </w:t>
      </w:r>
      <w:r>
        <w:t>multitude of small, family-owned business in these sectors is not conducive to adoption of a self-regulatory approach.</w:t>
      </w:r>
    </w:p>
    <w:p w14:paraId="0731D34E" w14:textId="221CE7FD" w:rsidR="00CB7716" w:rsidRDefault="00CB7716" w:rsidP="003B2774">
      <w:pPr>
        <w:spacing w:after="240"/>
        <w:rPr>
          <w:rFonts w:cs="Arial"/>
        </w:rPr>
      </w:pPr>
      <w:r>
        <w:rPr>
          <w:rFonts w:cs="Arial"/>
        </w:rPr>
        <w:t>In theory,</w:t>
      </w:r>
      <w:r w:rsidRPr="00A41684">
        <w:rPr>
          <w:rFonts w:cs="Arial"/>
        </w:rPr>
        <w:t xml:space="preserve"> an industry scheme could be implemented relatively quickly and provide </w:t>
      </w:r>
      <w:r>
        <w:rPr>
          <w:rFonts w:cs="Arial"/>
        </w:rPr>
        <w:t xml:space="preserve">greater </w:t>
      </w:r>
      <w:r w:rsidRPr="00A41684">
        <w:rPr>
          <w:rFonts w:cs="Arial"/>
        </w:rPr>
        <w:t>flexibility</w:t>
      </w:r>
      <w:r>
        <w:rPr>
          <w:rFonts w:cs="Arial"/>
        </w:rPr>
        <w:t xml:space="preserve"> than regulation. However, </w:t>
      </w:r>
      <w:r w:rsidRPr="00A41684">
        <w:t xml:space="preserve">the lack of </w:t>
      </w:r>
      <w:r>
        <w:t>membership of</w:t>
      </w:r>
      <w:r w:rsidRPr="00A41684">
        <w:t xml:space="preserve"> industry </w:t>
      </w:r>
      <w:r>
        <w:t>associations</w:t>
      </w:r>
      <w:r w:rsidRPr="00A41684">
        <w:t xml:space="preserve"> means </w:t>
      </w:r>
      <w:r>
        <w:t>many individual businesses in these sectors are</w:t>
      </w:r>
      <w:r w:rsidRPr="00A41684">
        <w:t xml:space="preserve"> </w:t>
      </w:r>
      <w:r>
        <w:t>not receiving a group ‘push’ to comply</w:t>
      </w:r>
      <w:r w:rsidRPr="00A41684">
        <w:t xml:space="preserve">. </w:t>
      </w:r>
      <w:r>
        <w:rPr>
          <w:rFonts w:cs="Arial"/>
        </w:rPr>
        <w:t>In addition, w</w:t>
      </w:r>
      <w:r w:rsidRPr="00A41684">
        <w:rPr>
          <w:rFonts w:cs="Arial"/>
        </w:rPr>
        <w:t>he</w:t>
      </w:r>
      <w:r>
        <w:rPr>
          <w:rFonts w:cs="Arial"/>
        </w:rPr>
        <w:t xml:space="preserve">n businesses’ </w:t>
      </w:r>
      <w:r w:rsidRPr="00A41684">
        <w:rPr>
          <w:rFonts w:cs="Arial"/>
        </w:rPr>
        <w:t>resources are limited</w:t>
      </w:r>
      <w:r>
        <w:rPr>
          <w:rFonts w:cs="Arial"/>
        </w:rPr>
        <w:t>,</w:t>
      </w:r>
      <w:r w:rsidRPr="00A41684">
        <w:rPr>
          <w:rFonts w:cs="Arial"/>
        </w:rPr>
        <w:t xml:space="preserve"> </w:t>
      </w:r>
      <w:r>
        <w:rPr>
          <w:rFonts w:cs="Arial"/>
        </w:rPr>
        <w:t>they</w:t>
      </w:r>
      <w:r w:rsidRPr="00A41684">
        <w:rPr>
          <w:rFonts w:cs="Arial"/>
        </w:rPr>
        <w:t xml:space="preserve"> </w:t>
      </w:r>
      <w:r>
        <w:rPr>
          <w:rFonts w:cs="Arial"/>
        </w:rPr>
        <w:t xml:space="preserve">tend to </w:t>
      </w:r>
      <w:r w:rsidRPr="00A41684">
        <w:rPr>
          <w:rFonts w:cs="Arial"/>
        </w:rPr>
        <w:t xml:space="preserve">focus on </w:t>
      </w:r>
      <w:r>
        <w:rPr>
          <w:rFonts w:cs="Arial"/>
        </w:rPr>
        <w:t xml:space="preserve">regulatory </w:t>
      </w:r>
      <w:r w:rsidRPr="00A41684">
        <w:rPr>
          <w:rFonts w:cs="Arial"/>
        </w:rPr>
        <w:t>requirements</w:t>
      </w:r>
      <w:r>
        <w:rPr>
          <w:rFonts w:cs="Arial"/>
        </w:rPr>
        <w:t>—voluntary measures become lower priority</w:t>
      </w:r>
      <w:r w:rsidRPr="00A41684">
        <w:rPr>
          <w:rFonts w:cs="Arial"/>
        </w:rPr>
        <w:t>.</w:t>
      </w:r>
    </w:p>
    <w:p w14:paraId="1D8412E8" w14:textId="77777777" w:rsidR="00CB7716" w:rsidRPr="00461CD2" w:rsidRDefault="00CB7716" w:rsidP="003B2774">
      <w:pPr>
        <w:spacing w:after="240"/>
        <w:rPr>
          <w:lang w:eastAsia="en-AU"/>
        </w:rPr>
      </w:pPr>
      <w:r>
        <w:t xml:space="preserve">The Office of Best Practice Regulation’s </w:t>
      </w:r>
      <w:r w:rsidRPr="3C0957AF">
        <w:rPr>
          <w:i/>
          <w:iCs/>
        </w:rPr>
        <w:t>Best Practice Regulation Handbook</w:t>
      </w:r>
      <w:r>
        <w:t>, August 2007 provides guidance</w:t>
      </w:r>
      <w:r w:rsidRPr="48861835">
        <w:rPr>
          <w:vertAlign w:val="superscript"/>
          <w:lang w:eastAsia="en-AU"/>
        </w:rPr>
        <w:footnoteReference w:id="32"/>
      </w:r>
      <w:r>
        <w:t xml:space="preserve"> that s</w:t>
      </w:r>
      <w:r w:rsidRPr="00461CD2">
        <w:rPr>
          <w:lang w:eastAsia="en-AU"/>
        </w:rPr>
        <w:t>elf-regulation should be considered where:</w:t>
      </w:r>
    </w:p>
    <w:p w14:paraId="6ED61144" w14:textId="3E8B5FC2" w:rsidR="00CB7716" w:rsidRPr="00461CD2" w:rsidRDefault="00CB7716" w:rsidP="00614AF5">
      <w:pPr>
        <w:pStyle w:val="ListParagraph"/>
        <w:numPr>
          <w:ilvl w:val="0"/>
          <w:numId w:val="77"/>
        </w:numPr>
        <w:spacing w:after="240"/>
        <w:rPr>
          <w:lang w:eastAsia="en-AU"/>
        </w:rPr>
      </w:pPr>
      <w:r w:rsidRPr="00461CD2">
        <w:rPr>
          <w:lang w:eastAsia="en-AU"/>
        </w:rPr>
        <w:t xml:space="preserve">there is no strong public interest or concern </w:t>
      </w:r>
      <w:bookmarkStart w:id="291" w:name="_Int_lzA2X4mD"/>
      <w:r w:rsidRPr="00461CD2">
        <w:rPr>
          <w:lang w:eastAsia="en-AU"/>
        </w:rPr>
        <w:t>and in particular, no</w:t>
      </w:r>
      <w:bookmarkEnd w:id="291"/>
      <w:r w:rsidRPr="00461CD2">
        <w:rPr>
          <w:lang w:eastAsia="en-AU"/>
        </w:rPr>
        <w:t xml:space="preserve"> major public health and safety concern</w:t>
      </w:r>
    </w:p>
    <w:p w14:paraId="25614661" w14:textId="2D8E7B75" w:rsidR="00CB7716" w:rsidRPr="00461CD2" w:rsidRDefault="00CB7716" w:rsidP="00614AF5">
      <w:pPr>
        <w:pStyle w:val="ListParagraph"/>
        <w:numPr>
          <w:ilvl w:val="0"/>
          <w:numId w:val="77"/>
        </w:numPr>
        <w:spacing w:after="240"/>
        <w:rPr>
          <w:lang w:eastAsia="en-AU"/>
        </w:rPr>
      </w:pPr>
      <w:r w:rsidRPr="00461CD2">
        <w:rPr>
          <w:lang w:eastAsia="en-AU"/>
        </w:rPr>
        <w:t>the problem is low-risk,</w:t>
      </w:r>
      <w:r w:rsidRPr="00461CD2" w:rsidDel="008B17FE">
        <w:rPr>
          <w:lang w:eastAsia="en-AU"/>
        </w:rPr>
        <w:t xml:space="preserve"> </w:t>
      </w:r>
      <w:r w:rsidRPr="00461CD2">
        <w:rPr>
          <w:lang w:eastAsia="en-AU"/>
        </w:rPr>
        <w:t>low impact or of low significance</w:t>
      </w:r>
    </w:p>
    <w:p w14:paraId="1FD5C7A3" w14:textId="4E0FEE11" w:rsidR="00CB7716" w:rsidRPr="00461CD2" w:rsidRDefault="00CB7716" w:rsidP="00614AF5">
      <w:pPr>
        <w:pStyle w:val="ListParagraph"/>
        <w:numPr>
          <w:ilvl w:val="0"/>
          <w:numId w:val="77"/>
        </w:numPr>
        <w:spacing w:after="240"/>
        <w:rPr>
          <w:lang w:eastAsia="en-AU"/>
        </w:rPr>
      </w:pPr>
      <w:r w:rsidRPr="00461CD2">
        <w:rPr>
          <w:lang w:eastAsia="en-AU"/>
        </w:rPr>
        <w:t>the problem ca</w:t>
      </w:r>
      <w:r w:rsidR="003B2774">
        <w:rPr>
          <w:lang w:eastAsia="en-AU"/>
        </w:rPr>
        <w:t>n be fixed by the market itself</w:t>
      </w:r>
    </w:p>
    <w:p w14:paraId="67588E3B" w14:textId="5204547D" w:rsidR="00CB7716" w:rsidRPr="00461CD2" w:rsidRDefault="003B2774" w:rsidP="00614AF5">
      <w:pPr>
        <w:pStyle w:val="ListParagraph"/>
        <w:numPr>
          <w:ilvl w:val="0"/>
          <w:numId w:val="77"/>
        </w:numPr>
        <w:spacing w:after="240"/>
        <w:rPr>
          <w:lang w:eastAsia="en-AU"/>
        </w:rPr>
      </w:pPr>
      <w:r>
        <w:rPr>
          <w:lang w:eastAsia="en-AU"/>
        </w:rPr>
        <w:t>t</w:t>
      </w:r>
      <w:r w:rsidR="00CB7716" w:rsidRPr="00461CD2">
        <w:rPr>
          <w:lang w:eastAsia="en-AU"/>
        </w:rPr>
        <w:t>he likelihood of the effectiveness of self-regulatory schemes is increased if there is:</w:t>
      </w:r>
    </w:p>
    <w:p w14:paraId="4B555B5A" w14:textId="77777777" w:rsidR="00CB7716" w:rsidRPr="00461CD2" w:rsidRDefault="00CB7716" w:rsidP="00614AF5">
      <w:pPr>
        <w:pStyle w:val="ListParagraph"/>
        <w:numPr>
          <w:ilvl w:val="0"/>
          <w:numId w:val="77"/>
        </w:numPr>
        <w:spacing w:after="240"/>
        <w:rPr>
          <w:lang w:eastAsia="en-AU"/>
        </w:rPr>
      </w:pPr>
      <w:r w:rsidRPr="00461CD2">
        <w:rPr>
          <w:lang w:eastAsia="en-AU"/>
        </w:rPr>
        <w:t>adequate coverage of the industry concerned</w:t>
      </w:r>
    </w:p>
    <w:p w14:paraId="249E7772" w14:textId="77777777" w:rsidR="00CB7716" w:rsidRPr="00461CD2" w:rsidRDefault="00CB7716" w:rsidP="00614AF5">
      <w:pPr>
        <w:pStyle w:val="ListParagraph"/>
        <w:numPr>
          <w:ilvl w:val="0"/>
          <w:numId w:val="77"/>
        </w:numPr>
        <w:spacing w:after="240"/>
        <w:rPr>
          <w:lang w:eastAsia="en-AU"/>
        </w:rPr>
      </w:pPr>
      <w:r w:rsidRPr="00461CD2">
        <w:rPr>
          <w:lang w:eastAsia="en-AU"/>
        </w:rPr>
        <w:t>a viable industry association</w:t>
      </w:r>
    </w:p>
    <w:p w14:paraId="6E590B88" w14:textId="77777777" w:rsidR="00CB7716" w:rsidRPr="00461CD2" w:rsidRDefault="00CB7716" w:rsidP="00614AF5">
      <w:pPr>
        <w:pStyle w:val="ListParagraph"/>
        <w:numPr>
          <w:ilvl w:val="0"/>
          <w:numId w:val="77"/>
        </w:numPr>
        <w:spacing w:after="240"/>
        <w:rPr>
          <w:lang w:eastAsia="en-AU"/>
        </w:rPr>
      </w:pPr>
      <w:r w:rsidRPr="00461CD2">
        <w:rPr>
          <w:lang w:eastAsia="en-AU"/>
        </w:rPr>
        <w:lastRenderedPageBreak/>
        <w:t>a cohesive industry with like-minded or motivated participants committed to achieving the goals</w:t>
      </w:r>
    </w:p>
    <w:p w14:paraId="691C464E" w14:textId="77777777" w:rsidR="00CB7716" w:rsidRPr="00461CD2" w:rsidRDefault="00CB7716" w:rsidP="00614AF5">
      <w:pPr>
        <w:pStyle w:val="ListParagraph"/>
        <w:numPr>
          <w:ilvl w:val="0"/>
          <w:numId w:val="77"/>
        </w:numPr>
        <w:spacing w:after="240"/>
        <w:rPr>
          <w:lang w:eastAsia="en-AU"/>
        </w:rPr>
      </w:pPr>
      <w:r w:rsidRPr="00461CD2">
        <w:rPr>
          <w:lang w:eastAsia="en-AU"/>
        </w:rPr>
        <w:t>evidence that voluntary participation can wo</w:t>
      </w:r>
      <w:r>
        <w:rPr>
          <w:lang w:eastAsia="en-AU"/>
        </w:rPr>
        <w:t>rk</w:t>
      </w:r>
      <w:r>
        <w:t>—</w:t>
      </w:r>
      <w:r w:rsidRPr="00461CD2">
        <w:rPr>
          <w:lang w:eastAsia="en-AU"/>
        </w:rPr>
        <w:t>effective sanctions and incentives can be applied, with low scope for benefits being shared by non-participants</w:t>
      </w:r>
    </w:p>
    <w:p w14:paraId="7CC21FBC" w14:textId="77777777" w:rsidR="00CB7716" w:rsidRPr="005A743D" w:rsidRDefault="00CB7716" w:rsidP="00614AF5">
      <w:pPr>
        <w:pStyle w:val="ListParagraph"/>
        <w:numPr>
          <w:ilvl w:val="0"/>
          <w:numId w:val="77"/>
        </w:numPr>
        <w:spacing w:after="240"/>
        <w:rPr>
          <w:lang w:eastAsia="en-AU"/>
        </w:rPr>
      </w:pPr>
      <w:r w:rsidRPr="00461CD2">
        <w:rPr>
          <w:lang w:eastAsia="en-AU"/>
        </w:rPr>
        <w:t>a cost advantage from tailor-made solutions and less formal mechanisms.</w:t>
      </w:r>
    </w:p>
    <w:p w14:paraId="3E4863BC" w14:textId="77777777" w:rsidR="00CB7716" w:rsidRPr="00461CD2" w:rsidRDefault="00CB7716" w:rsidP="003B2774">
      <w:pPr>
        <w:spacing w:after="240"/>
        <w:rPr>
          <w:lang w:eastAsia="en-AU"/>
        </w:rPr>
      </w:pPr>
      <w:r w:rsidRPr="00461CD2">
        <w:rPr>
          <w:lang w:eastAsia="en-AU"/>
        </w:rPr>
        <w:t xml:space="preserve">FSANZ assessed option 2 against the </w:t>
      </w:r>
      <w:r w:rsidRPr="001045B5">
        <w:rPr>
          <w:lang w:eastAsia="en-AU"/>
        </w:rPr>
        <w:t xml:space="preserve">above </w:t>
      </w:r>
      <w:r w:rsidRPr="00461CD2">
        <w:rPr>
          <w:lang w:eastAsia="en-AU"/>
        </w:rPr>
        <w:t>criteria</w:t>
      </w:r>
      <w:r>
        <w:rPr>
          <w:lang w:eastAsia="en-AU"/>
        </w:rPr>
        <w:t xml:space="preserve"> and</w:t>
      </w:r>
      <w:r w:rsidRPr="00461CD2">
        <w:rPr>
          <w:lang w:eastAsia="en-AU"/>
        </w:rPr>
        <w:t xml:space="preserve"> determined </w:t>
      </w:r>
      <w:r>
        <w:rPr>
          <w:lang w:eastAsia="en-AU"/>
        </w:rPr>
        <w:t>it would not be an</w:t>
      </w:r>
      <w:r w:rsidRPr="00461CD2">
        <w:rPr>
          <w:lang w:eastAsia="en-AU"/>
        </w:rPr>
        <w:t xml:space="preserve"> appropriate intervention</w:t>
      </w:r>
      <w:r>
        <w:rPr>
          <w:lang w:eastAsia="en-AU"/>
        </w:rPr>
        <w:t>,</w:t>
      </w:r>
      <w:r w:rsidRPr="00461CD2">
        <w:rPr>
          <w:lang w:eastAsia="en-AU"/>
        </w:rPr>
        <w:t xml:space="preserve"> as:</w:t>
      </w:r>
    </w:p>
    <w:p w14:paraId="7A27079F" w14:textId="4C645E74" w:rsidR="00CB7716" w:rsidRPr="00461CD2" w:rsidRDefault="003B2774" w:rsidP="00614AF5">
      <w:pPr>
        <w:pStyle w:val="ListParagraph"/>
        <w:numPr>
          <w:ilvl w:val="0"/>
          <w:numId w:val="78"/>
        </w:numPr>
        <w:spacing w:after="240"/>
        <w:rPr>
          <w:lang w:eastAsia="en-AU"/>
        </w:rPr>
      </w:pPr>
      <w:r>
        <w:rPr>
          <w:lang w:eastAsia="en-AU"/>
        </w:rPr>
        <w:t>f</w:t>
      </w:r>
      <w:r w:rsidR="00CB7716" w:rsidRPr="68C0CA2D">
        <w:rPr>
          <w:lang w:eastAsia="en-AU"/>
        </w:rPr>
        <w:t>oodborne illness is a significant health and safety concern.</w:t>
      </w:r>
    </w:p>
    <w:p w14:paraId="465C6748" w14:textId="34BAC4B0" w:rsidR="00CB7716" w:rsidRPr="00461CD2" w:rsidRDefault="003B2774" w:rsidP="00614AF5">
      <w:pPr>
        <w:pStyle w:val="ListParagraph"/>
        <w:numPr>
          <w:ilvl w:val="0"/>
          <w:numId w:val="78"/>
        </w:numPr>
        <w:spacing w:after="240"/>
        <w:rPr>
          <w:lang w:eastAsia="en-AU"/>
        </w:rPr>
      </w:pPr>
      <w:r>
        <w:rPr>
          <w:lang w:eastAsia="en-AU"/>
        </w:rPr>
        <w:t>f</w:t>
      </w:r>
      <w:r w:rsidR="00CB7716" w:rsidRPr="68C0CA2D">
        <w:rPr>
          <w:lang w:eastAsia="en-AU"/>
        </w:rPr>
        <w:t xml:space="preserve">oodborne illness, especially in the context of an outbreak, is a high-impact event in terms of costs to consumers and industry. </w:t>
      </w:r>
      <w:r w:rsidR="00CB7716">
        <w:t>Outbreaks of foodborne disease have resulted in illness and deaths, which cannot be considered as low-risk consequences.</w:t>
      </w:r>
    </w:p>
    <w:p w14:paraId="61F30D32" w14:textId="71D8A6AC" w:rsidR="00CB7716" w:rsidRPr="00461CD2" w:rsidRDefault="003B2774" w:rsidP="00614AF5">
      <w:pPr>
        <w:pStyle w:val="ListParagraph"/>
        <w:numPr>
          <w:ilvl w:val="0"/>
          <w:numId w:val="78"/>
        </w:numPr>
        <w:spacing w:after="240"/>
        <w:rPr>
          <w:lang w:eastAsia="en-AU"/>
        </w:rPr>
      </w:pPr>
      <w:r>
        <w:rPr>
          <w:lang w:eastAsia="en-AU"/>
        </w:rPr>
        <w:t>t</w:t>
      </w:r>
      <w:r w:rsidR="00CB7716" w:rsidRPr="68C0CA2D">
        <w:rPr>
          <w:lang w:eastAsia="en-AU"/>
        </w:rPr>
        <w:t>he market is unlikely to be able to fix the problem itself, given difficulties of identifying the source and cause of many illnesses, and the often</w:t>
      </w:r>
      <w:r w:rsidR="00CB7716" w:rsidRPr="48861835">
        <w:rPr>
          <w:lang w:eastAsia="en-AU"/>
        </w:rPr>
        <w:t>-</w:t>
      </w:r>
      <w:r w:rsidR="00CB7716" w:rsidRPr="68C0CA2D">
        <w:rPr>
          <w:lang w:eastAsia="en-AU"/>
        </w:rPr>
        <w:t>low costs typically incurred by most individuals, limiting incentives to seek legal redress through the court system.</w:t>
      </w:r>
    </w:p>
    <w:p w14:paraId="444E216A" w14:textId="6987DB00" w:rsidR="00CB7716" w:rsidRDefault="003B2774" w:rsidP="00614AF5">
      <w:pPr>
        <w:pStyle w:val="ListParagraph"/>
        <w:numPr>
          <w:ilvl w:val="0"/>
          <w:numId w:val="78"/>
        </w:numPr>
        <w:spacing w:after="240"/>
        <w:rPr>
          <w:lang w:eastAsia="en-AU"/>
        </w:rPr>
      </w:pPr>
      <w:r>
        <w:rPr>
          <w:lang w:eastAsia="en-AU"/>
        </w:rPr>
        <w:t>c</w:t>
      </w:r>
      <w:r w:rsidR="00CB7716" w:rsidRPr="68C0CA2D">
        <w:rPr>
          <w:lang w:eastAsia="en-AU"/>
        </w:rPr>
        <w:t>osts associated with outbreaks are often incurred by the whole industry, not just the business that contributed to the outbreak.</w:t>
      </w:r>
    </w:p>
    <w:p w14:paraId="0464A8B7" w14:textId="334B2779" w:rsidR="00CB7716" w:rsidRDefault="003B2774" w:rsidP="00614AF5">
      <w:pPr>
        <w:pStyle w:val="ListParagraph"/>
        <w:numPr>
          <w:ilvl w:val="0"/>
          <w:numId w:val="78"/>
        </w:numPr>
        <w:spacing w:after="240"/>
        <w:rPr>
          <w:lang w:eastAsia="en-AU"/>
        </w:rPr>
      </w:pPr>
      <w:r>
        <w:rPr>
          <w:lang w:eastAsia="en-AU"/>
        </w:rPr>
        <w:t>t</w:t>
      </w:r>
      <w:r w:rsidR="00CB7716" w:rsidRPr="68C0CA2D">
        <w:rPr>
          <w:lang w:eastAsia="en-AU"/>
        </w:rPr>
        <w:t>he businesses that are typically not covered by voluntary schemes are often not members of industry organisations, and are highly heterogeneous in terms of language background, literacy, education and knowledge, and motivation in terms of food safety.</w:t>
      </w:r>
    </w:p>
    <w:p w14:paraId="24A939B7" w14:textId="571AC354" w:rsidR="00CB7716" w:rsidRDefault="00CB7716" w:rsidP="003B2774">
      <w:pPr>
        <w:spacing w:after="240"/>
        <w:rPr>
          <w:lang w:eastAsia="en-AU"/>
        </w:rPr>
      </w:pPr>
      <w:r w:rsidRPr="68C0CA2D">
        <w:rPr>
          <w:lang w:eastAsia="en-AU"/>
        </w:rPr>
        <w:t>Stakeholders’ views were sought on option 2, particularly whether there were any other costs or benefits that should be taken into account, and any issues industry might face with self-regulation. Submissions identified that businesses would face similar challenges with self-regulation as they do with compliance with the current food safety standards.</w:t>
      </w:r>
    </w:p>
    <w:p w14:paraId="0B17F507" w14:textId="3BE4E846" w:rsidR="00CB7716" w:rsidRDefault="00CB7716" w:rsidP="003B2774">
      <w:pPr>
        <w:spacing w:after="240"/>
      </w:pPr>
      <w:r>
        <w:t xml:space="preserve">FSANZ acknowledges stakeholder feedback that in some jurisdictions, local government and businesses are working hard to optimise food safety outcomes through incorporating elements of self-regulation activities into existing programs. Self-regulation is supported through encouraging compliance with the use of incentives for businesses that are documenting their food management practices, including reduced annual fees, self-audits, reduced audits by </w:t>
      </w:r>
      <w:r w:rsidR="00643567">
        <w:t>council</w:t>
      </w:r>
      <w:r>
        <w:t xml:space="preserve"> and market-driven measures such as star ratings.</w:t>
      </w:r>
    </w:p>
    <w:p w14:paraId="311FD553" w14:textId="617F3863" w:rsidR="00CB7716" w:rsidRDefault="00CB7716" w:rsidP="003B2774">
      <w:pPr>
        <w:spacing w:after="240"/>
        <w:rPr>
          <w:b/>
        </w:rPr>
      </w:pPr>
      <w:r w:rsidRPr="004F0C18">
        <w:t xml:space="preserve">FSANZ’s conclusion is that </w:t>
      </w:r>
      <w:r>
        <w:t>self-regulation</w:t>
      </w:r>
      <w:r w:rsidRPr="00206697">
        <w:t xml:space="preserve"> </w:t>
      </w:r>
      <w:r>
        <w:t>has</w:t>
      </w:r>
      <w:r w:rsidRPr="00206697">
        <w:t xml:space="preserve"> not </w:t>
      </w:r>
      <w:r>
        <w:t>been effective in addressing</w:t>
      </w:r>
      <w:r w:rsidRPr="00206697">
        <w:t xml:space="preserve"> the </w:t>
      </w:r>
      <w:r>
        <w:t xml:space="preserve">unique </w:t>
      </w:r>
      <w:r w:rsidRPr="00206697">
        <w:t>risks</w:t>
      </w:r>
      <w:r>
        <w:t xml:space="preserve"> </w:t>
      </w:r>
      <w:r w:rsidRPr="00206697">
        <w:t xml:space="preserve">identified </w:t>
      </w:r>
      <w:r>
        <w:t>in these sectors. It is not our preferred option</w:t>
      </w:r>
      <w:r w:rsidRPr="004F0C18">
        <w:t xml:space="preserve">. Participation in non-regulated food safety activities </w:t>
      </w:r>
      <w:r>
        <w:t>is</w:t>
      </w:r>
      <w:r w:rsidRPr="004F0C18">
        <w:t xml:space="preserve"> ‘voluntary’ and unlikely to result in appropriate food safety management across the entire sector. </w:t>
      </w:r>
      <w:r>
        <w:t xml:space="preserve">While there are food safety culture </w:t>
      </w:r>
      <w:r w:rsidR="00643567">
        <w:t>initiatives</w:t>
      </w:r>
      <w:r>
        <w:t xml:space="preserve"> underway, i</w:t>
      </w:r>
      <w:r w:rsidRPr="004F0C18">
        <w:t>t is assumed that, in the absence of supporting regulation</w:t>
      </w:r>
      <w:r>
        <w:t xml:space="preserve">, </w:t>
      </w:r>
      <w:r w:rsidRPr="004F0C18">
        <w:t xml:space="preserve">the effects of these non-regulatory tools to reduce food safety will be significantly reduced. </w:t>
      </w:r>
    </w:p>
    <w:p w14:paraId="2D47AB71" w14:textId="77777777" w:rsidR="00CB7716" w:rsidRDefault="00CB7716" w:rsidP="0025246D">
      <w:pPr>
        <w:pStyle w:val="Heading3"/>
        <w:numPr>
          <w:ilvl w:val="0"/>
          <w:numId w:val="0"/>
        </w:numPr>
        <w:ind w:left="720" w:hanging="720"/>
      </w:pPr>
      <w:bookmarkStart w:id="292" w:name="_Toc104808608"/>
      <w:bookmarkStart w:id="293" w:name="_Toc107412689"/>
      <w:bookmarkStart w:id="294" w:name="_Toc109300453"/>
      <w:r>
        <w:t>4</w:t>
      </w:r>
      <w:r w:rsidRPr="00D15F61">
        <w:t>.</w:t>
      </w:r>
      <w:r>
        <w:t>4</w:t>
      </w:r>
      <w:r w:rsidRPr="00D15F61">
        <w:tab/>
      </w:r>
      <w:r>
        <w:t>Option 3 – Regulated food safety management tools</w:t>
      </w:r>
      <w:bookmarkEnd w:id="292"/>
      <w:bookmarkEnd w:id="293"/>
      <w:bookmarkEnd w:id="294"/>
    </w:p>
    <w:p w14:paraId="3188E32C" w14:textId="77777777" w:rsidR="00CB7716" w:rsidRDefault="00CB7716" w:rsidP="003B2774">
      <w:pPr>
        <w:spacing w:after="240"/>
      </w:pPr>
      <w:r>
        <w:t xml:space="preserve">As outlined in section 3.3, FSS, FHT, and </w:t>
      </w:r>
      <w:proofErr w:type="spellStart"/>
      <w:r w:rsidRPr="004B3692">
        <w:t>E</w:t>
      </w:r>
      <w:proofErr w:type="spellEnd"/>
      <w:r w:rsidRPr="004B3692">
        <w:t xml:space="preserve"> a</w:t>
      </w:r>
      <w:r>
        <w:t>re the three regulatory tools proposed by the FSM WG and endorsed by ministers. They are the focus of this proposal.</w:t>
      </w:r>
    </w:p>
    <w:p w14:paraId="2839A742" w14:textId="4CF2C46A" w:rsidR="00643567" w:rsidRDefault="00CB7716" w:rsidP="003B2774">
      <w:pPr>
        <w:spacing w:after="240"/>
      </w:pPr>
      <w:r>
        <w:t>This section considers these interventions in general terms. Their combined use in different risk categories of food businesses is considered further in section 4.5.2.</w:t>
      </w:r>
    </w:p>
    <w:p w14:paraId="4428266E" w14:textId="77777777" w:rsidR="00CB7716" w:rsidRDefault="00CB7716" w:rsidP="003B2774">
      <w:pPr>
        <w:spacing w:after="240"/>
      </w:pPr>
      <w:r>
        <w:t>These food safety management tools will not eradicate all foodborne illness; there will continue to be residual risk. The efficacy of an intervention provides an estimate of how effective it will be in reducing foodborne illness. The assumed efficacy of the tools in this proposal has been estimated based on:</w:t>
      </w:r>
    </w:p>
    <w:p w14:paraId="53571B55" w14:textId="77777777" w:rsidR="00CB7716" w:rsidRDefault="00CB7716" w:rsidP="00614AF5">
      <w:pPr>
        <w:pStyle w:val="ListParagraph"/>
        <w:numPr>
          <w:ilvl w:val="0"/>
          <w:numId w:val="79"/>
        </w:numPr>
        <w:spacing w:after="240"/>
      </w:pPr>
      <w:r>
        <w:lastRenderedPageBreak/>
        <w:t xml:space="preserve">the contributing factors of foodborne illness outbreaks (as reported by </w:t>
      </w:r>
      <w:proofErr w:type="spellStart"/>
      <w:r>
        <w:t>OzFoodNet</w:t>
      </w:r>
      <w:proofErr w:type="spellEnd"/>
      <w:r>
        <w:t>) and whether the tools will target these factors</w:t>
      </w:r>
    </w:p>
    <w:p w14:paraId="4FC06FC2" w14:textId="77777777" w:rsidR="00CB7716" w:rsidRDefault="00CB7716" w:rsidP="00614AF5">
      <w:pPr>
        <w:pStyle w:val="ListParagraph"/>
        <w:numPr>
          <w:ilvl w:val="0"/>
          <w:numId w:val="79"/>
        </w:numPr>
        <w:spacing w:after="240"/>
      </w:pPr>
      <w:r>
        <w:t xml:space="preserve">whether the tools have already been implemented in jurisdictions </w:t>
      </w:r>
    </w:p>
    <w:p w14:paraId="248C4430" w14:textId="77777777" w:rsidR="00CB7716" w:rsidRDefault="00CB7716" w:rsidP="00614AF5">
      <w:pPr>
        <w:pStyle w:val="ListParagraph"/>
        <w:numPr>
          <w:ilvl w:val="0"/>
          <w:numId w:val="79"/>
        </w:numPr>
        <w:spacing w:after="240"/>
      </w:pPr>
      <w:r>
        <w:t>the estimated likely efficacy for similar measures in key reference documents: the NSW Regulatory Impact Statement</w:t>
      </w:r>
      <w:r>
        <w:rPr>
          <w:rStyle w:val="FootnoteReference"/>
        </w:rPr>
        <w:footnoteReference w:id="33"/>
      </w:r>
      <w:r>
        <w:t>, the Allen Report (2002), and the National Risk Validation Project (2002).</w:t>
      </w:r>
    </w:p>
    <w:p w14:paraId="3420AFB1" w14:textId="517AACEC" w:rsidR="00CB7716" w:rsidRDefault="00CB7716" w:rsidP="003B2774">
      <w:pPr>
        <w:spacing w:after="240"/>
      </w:pPr>
      <w:r>
        <w:t>In considering the tools’ efficacy,</w:t>
      </w:r>
      <w:r w:rsidDel="008B50BE">
        <w:t xml:space="preserve"> </w:t>
      </w:r>
      <w:r>
        <w:t xml:space="preserve">FSANZ’s assessment assumed their impact to be at the lower end of the scale and thus it is likely their impact has been underestimated in our analysis (i.e. only a small </w:t>
      </w:r>
      <w:bookmarkStart w:id="295" w:name="_Int_VYVYsdfV"/>
      <w:proofErr w:type="spellStart"/>
      <w:r>
        <w:t>to</w:t>
      </w:r>
      <w:bookmarkEnd w:id="295"/>
      <w:proofErr w:type="spellEnd"/>
      <w:r>
        <w:t xml:space="preserve"> modest impact on reducing foodborne illness). It may be these tools have a more significant impact; in which case the estimates of net benefit would be even greater. The base efficacy for each of the tools is: 10% for FSS, 5% for FHT, 10% for E, and an additional 5% where all three food regulatory tools are implemented together, to recognise their complementary nature.</w:t>
      </w:r>
    </w:p>
    <w:p w14:paraId="6500F35D" w14:textId="2D9E5DD0" w:rsidR="00CB7716" w:rsidRDefault="00CB7716" w:rsidP="003B2774">
      <w:pPr>
        <w:spacing w:after="240"/>
      </w:pPr>
      <w:r>
        <w:t xml:space="preserve">Our assessment of each tool’s ability to mitigate the key contributors to foodborne illness is described below. </w:t>
      </w:r>
    </w:p>
    <w:p w14:paraId="70851D5C" w14:textId="0843CC0D" w:rsidR="00CB7716" w:rsidRDefault="00CB7716" w:rsidP="0025246D">
      <w:pPr>
        <w:pStyle w:val="Heading4"/>
        <w:numPr>
          <w:ilvl w:val="0"/>
          <w:numId w:val="0"/>
        </w:numPr>
        <w:ind w:left="864" w:hanging="864"/>
        <w:rPr>
          <w:lang w:val="en-AU"/>
        </w:rPr>
      </w:pPr>
      <w:bookmarkStart w:id="296" w:name="_Toc70953239"/>
      <w:bookmarkStart w:id="297" w:name="_Toc107412690"/>
      <w:r w:rsidRPr="68C0CA2D">
        <w:rPr>
          <w:lang w:val="en-AU"/>
        </w:rPr>
        <w:t>4.4.1</w:t>
      </w:r>
      <w:r>
        <w:tab/>
      </w:r>
      <w:r w:rsidRPr="68C0CA2D">
        <w:rPr>
          <w:lang w:val="en-AU"/>
        </w:rPr>
        <w:t>Food safety supervisor</w:t>
      </w:r>
      <w:bookmarkEnd w:id="296"/>
      <w:bookmarkEnd w:id="297"/>
      <w:r w:rsidRPr="68C0CA2D">
        <w:rPr>
          <w:lang w:val="en-AU"/>
        </w:rPr>
        <w:t xml:space="preserve"> </w:t>
      </w:r>
    </w:p>
    <w:p w14:paraId="3DC445D0" w14:textId="6D0AB1EB" w:rsidR="00CB7716" w:rsidRDefault="00CB7716" w:rsidP="003B2774">
      <w:pPr>
        <w:spacing w:after="240"/>
      </w:pPr>
      <w:r>
        <w:t xml:space="preserve">We considered a measure where in-scope businesses would be required to have at least one certified FSS. The Code does not currently include requirements for any businesses to have an FSS. Four jurisdictions have implemented their own FSS requirements for some of the businesses in the scope of this proposal. </w:t>
      </w:r>
    </w:p>
    <w:p w14:paraId="2DB70BEA" w14:textId="2C28532B" w:rsidR="00CB7716" w:rsidRDefault="00CB7716" w:rsidP="003B2774">
      <w:pPr>
        <w:spacing w:after="240"/>
      </w:pPr>
      <w:r>
        <w:t xml:space="preserve">FSS certification would require successful completion of training that is competency verified (i.e. including formal assessment). Through such training, a FSS would be qualified in recognising and preventing the risks associated with food handling in food service and retail food businesses. </w:t>
      </w:r>
    </w:p>
    <w:p w14:paraId="6250D132" w14:textId="58829C98" w:rsidR="00CB7716" w:rsidRPr="002673C7" w:rsidRDefault="00CB7716" w:rsidP="003B2774">
      <w:pPr>
        <w:spacing w:after="240"/>
      </w:pPr>
      <w:r>
        <w:t>Under Standard 3.2.2, a</w:t>
      </w:r>
      <w:r w:rsidRPr="002673C7">
        <w:t xml:space="preserve">ll </w:t>
      </w:r>
      <w:r>
        <w:t>food handlers</w:t>
      </w:r>
      <w:r w:rsidRPr="002673C7">
        <w:t xml:space="preserve"> must have the skills and knowledge relevant to their food duties</w:t>
      </w:r>
      <w:r>
        <w:t>. However</w:t>
      </w:r>
      <w:r w:rsidRPr="002673C7">
        <w:t xml:space="preserve">, </w:t>
      </w:r>
      <w:r>
        <w:t xml:space="preserve">FSANZ considers that a </w:t>
      </w:r>
      <w:r w:rsidRPr="002673C7">
        <w:t xml:space="preserve">FSS </w:t>
      </w:r>
      <w:r>
        <w:t xml:space="preserve">with specified competency training would be able to manage </w:t>
      </w:r>
      <w:r w:rsidRPr="002673C7">
        <w:t>the overall food safety of the business</w:t>
      </w:r>
      <w:r>
        <w:t>,</w:t>
      </w:r>
      <w:r w:rsidRPr="002673C7">
        <w:t xml:space="preserve"> </w:t>
      </w:r>
      <w:r>
        <w:t>across</w:t>
      </w:r>
      <w:r w:rsidRPr="002673C7">
        <w:t xml:space="preserve"> staff</w:t>
      </w:r>
      <w:r>
        <w:t xml:space="preserve">. </w:t>
      </w:r>
    </w:p>
    <w:p w14:paraId="5176460D" w14:textId="51B05F70" w:rsidR="00CB7716" w:rsidRPr="003B2774" w:rsidRDefault="00CB7716" w:rsidP="003B2774">
      <w:pPr>
        <w:rPr>
          <w:b/>
          <w:i/>
        </w:rPr>
      </w:pPr>
      <w:bookmarkStart w:id="298" w:name="_Toc70953240"/>
      <w:r w:rsidRPr="003B2774">
        <w:rPr>
          <w:b/>
          <w:i/>
        </w:rPr>
        <w:t>Evaluation</w:t>
      </w:r>
      <w:bookmarkEnd w:id="298"/>
      <w:r w:rsidRPr="003B2774">
        <w:rPr>
          <w:b/>
          <w:i/>
        </w:rPr>
        <w:t>: FSS</w:t>
      </w:r>
    </w:p>
    <w:p w14:paraId="416A473A" w14:textId="77777777" w:rsidR="00CB7716" w:rsidRDefault="00CB7716" w:rsidP="003B2774">
      <w:pPr>
        <w:spacing w:after="240"/>
      </w:pPr>
      <w:r>
        <w:t>E</w:t>
      </w:r>
      <w:r w:rsidRPr="002673C7">
        <w:t>valuation studies on</w:t>
      </w:r>
      <w:r>
        <w:t xml:space="preserve"> the impact of a FSS</w:t>
      </w:r>
      <w:r w:rsidRPr="002673C7">
        <w:t xml:space="preserve"> on foodborne illness </w:t>
      </w:r>
      <w:r>
        <w:t>and</w:t>
      </w:r>
      <w:r w:rsidRPr="002673C7">
        <w:t xml:space="preserve"> industry compliance with regulation</w:t>
      </w:r>
      <w:r>
        <w:t xml:space="preserve"> are scarce</w:t>
      </w:r>
      <w:r w:rsidRPr="002673C7">
        <w:t xml:space="preserve">. </w:t>
      </w:r>
      <w:r>
        <w:t xml:space="preserve">However, it appears that FSS requirements can make improvements. </w:t>
      </w:r>
    </w:p>
    <w:p w14:paraId="253B4221" w14:textId="77777777" w:rsidR="00CB7716" w:rsidRPr="002673C7" w:rsidRDefault="00CB7716" w:rsidP="003B2774">
      <w:pPr>
        <w:spacing w:after="240"/>
      </w:pPr>
      <w:r w:rsidRPr="002673C7">
        <w:t>N</w:t>
      </w:r>
      <w:r>
        <w:t xml:space="preserve">ew </w:t>
      </w:r>
      <w:r w:rsidRPr="002673C7">
        <w:t>S</w:t>
      </w:r>
      <w:r>
        <w:t xml:space="preserve">outh </w:t>
      </w:r>
      <w:r w:rsidRPr="002673C7">
        <w:t>W</w:t>
      </w:r>
      <w:r>
        <w:t xml:space="preserve">ales implemented a mandatory FSS requirement for certain businesses </w:t>
      </w:r>
      <w:r w:rsidRPr="002673C7">
        <w:t xml:space="preserve">in 2010 </w:t>
      </w:r>
      <w:r>
        <w:t>and evaluated this after 12 months (NSW Food Authority, 2015).</w:t>
      </w:r>
      <w:r w:rsidRPr="002673C7">
        <w:t xml:space="preserve"> The findings indicated:</w:t>
      </w:r>
    </w:p>
    <w:p w14:paraId="6D64BF75" w14:textId="77777777" w:rsidR="00CB7716" w:rsidRDefault="00CB7716" w:rsidP="00614AF5">
      <w:pPr>
        <w:pStyle w:val="ListParagraph"/>
        <w:numPr>
          <w:ilvl w:val="0"/>
          <w:numId w:val="80"/>
        </w:numPr>
        <w:spacing w:after="240"/>
      </w:pPr>
      <w:r>
        <w:t xml:space="preserve">a food handler’s knowledge of food safety and handling increased after competency-based FSS training </w:t>
      </w:r>
    </w:p>
    <w:p w14:paraId="4D11D2AE" w14:textId="77777777" w:rsidR="00CB7716" w:rsidRDefault="00CB7716" w:rsidP="00614AF5">
      <w:pPr>
        <w:pStyle w:val="ListParagraph"/>
        <w:numPr>
          <w:ilvl w:val="0"/>
          <w:numId w:val="80"/>
        </w:numPr>
        <w:spacing w:after="240"/>
      </w:pPr>
      <w:r>
        <w:t>g</w:t>
      </w:r>
      <w:r w:rsidRPr="002673C7">
        <w:t xml:space="preserve">enerally, compliance with food safety standards increased after the </w:t>
      </w:r>
      <w:r>
        <w:t xml:space="preserve">FSS </w:t>
      </w:r>
      <w:r w:rsidRPr="002673C7">
        <w:t xml:space="preserve">scheme was introduced. </w:t>
      </w:r>
    </w:p>
    <w:p w14:paraId="3FCC3BB2" w14:textId="2C455162" w:rsidR="00CB7716" w:rsidRDefault="00CB7716" w:rsidP="003B2774">
      <w:pPr>
        <w:spacing w:after="240"/>
      </w:pPr>
      <w:r w:rsidRPr="002673C7">
        <w:t xml:space="preserve">The impact </w:t>
      </w:r>
      <w:r>
        <w:t xml:space="preserve">on </w:t>
      </w:r>
      <w:r w:rsidRPr="002673C7">
        <w:t xml:space="preserve">reducing foodborne outbreaks </w:t>
      </w:r>
      <w:r>
        <w:t>wa</w:t>
      </w:r>
      <w:r w:rsidRPr="002673C7">
        <w:t xml:space="preserve">s not reflected </w:t>
      </w:r>
      <w:r>
        <w:t xml:space="preserve">in the report, </w:t>
      </w:r>
      <w:r w:rsidRPr="002673C7">
        <w:t xml:space="preserve">as the </w:t>
      </w:r>
      <w:r w:rsidR="003B2774">
        <w:t>r</w:t>
      </w:r>
      <w:r>
        <w:t>equirement</w:t>
      </w:r>
      <w:r w:rsidRPr="002673C7">
        <w:t xml:space="preserve"> had only been </w:t>
      </w:r>
      <w:r>
        <w:t>in place</w:t>
      </w:r>
      <w:r w:rsidRPr="002673C7">
        <w:t xml:space="preserve"> </w:t>
      </w:r>
      <w:r>
        <w:t>a relatively short time</w:t>
      </w:r>
      <w:r w:rsidRPr="002673C7">
        <w:t xml:space="preserve">. </w:t>
      </w:r>
    </w:p>
    <w:p w14:paraId="191AF761" w14:textId="77777777" w:rsidR="00CB7716" w:rsidRDefault="00CB7716" w:rsidP="003B2774">
      <w:pPr>
        <w:spacing w:after="240"/>
      </w:pPr>
      <w:r>
        <w:t>St</w:t>
      </w:r>
      <w:r w:rsidRPr="002673C7">
        <w:t>akeholder feedback provided in FSM WG and FSANZ consultation</w:t>
      </w:r>
      <w:r>
        <w:t>s also indicates</w:t>
      </w:r>
      <w:r w:rsidRPr="002673C7">
        <w:t xml:space="preserve"> existing jurisdictional FSS requirements </w:t>
      </w:r>
      <w:r>
        <w:t xml:space="preserve">have </w:t>
      </w:r>
      <w:r w:rsidRPr="002673C7">
        <w:t>resulted in some improvements in food safety.</w:t>
      </w:r>
    </w:p>
    <w:p w14:paraId="3A91044D" w14:textId="77777777" w:rsidR="00CB7716" w:rsidRDefault="00CB7716" w:rsidP="003B2774">
      <w:pPr>
        <w:spacing w:after="240"/>
      </w:pPr>
      <w:r>
        <w:t>International</w:t>
      </w:r>
      <w:r w:rsidRPr="002673C7">
        <w:t xml:space="preserve"> studies on </w:t>
      </w:r>
      <w:r>
        <w:t>compliance impacts</w:t>
      </w:r>
      <w:r w:rsidRPr="002673C7">
        <w:t xml:space="preserve"> of food safety training on food service </w:t>
      </w:r>
      <w:r w:rsidRPr="002673C7">
        <w:lastRenderedPageBreak/>
        <w:t>operations</w:t>
      </w:r>
      <w:r>
        <w:t>,</w:t>
      </w:r>
      <w:r w:rsidRPr="002673C7">
        <w:t xml:space="preserve"> </w:t>
      </w:r>
      <w:r>
        <w:t>show improved outcomes with FSS or equivalents. R</w:t>
      </w:r>
      <w:r w:rsidRPr="002673C7">
        <w:t>estaurants with trained and certified food managers ha</w:t>
      </w:r>
      <w:r>
        <w:t>ve</w:t>
      </w:r>
      <w:r w:rsidRPr="002673C7">
        <w:t xml:space="preserve"> significantly fewer critical food safety violations</w:t>
      </w:r>
      <w:r>
        <w:t>,</w:t>
      </w:r>
      <w:r w:rsidRPr="002673C7">
        <w:t xml:space="preserve"> compared to r</w:t>
      </w:r>
      <w:r>
        <w:t>estaurants without certified</w:t>
      </w:r>
      <w:r w:rsidRPr="002673C7">
        <w:t xml:space="preserve"> </w:t>
      </w:r>
      <w:r w:rsidRPr="00EB7634">
        <w:t xml:space="preserve">managers </w:t>
      </w:r>
      <w:r w:rsidRPr="00EB7634">
        <w:fldChar w:fldCharType="begin"/>
      </w:r>
      <w:r w:rsidRPr="00EB7634">
        <w:instrText>ADDIN CITAVI.PLACEHOLDER 4d569615-1008-4ee7-a2fb-6fb1185091f7 PFBsYWNlaG9sZGVyPg0KICA8QWRkSW5WZXJzaW9uPjUuNy4xLjA8L0FkZEluVmVyc2lvbj4NCiAgPElkPjRkNTY5NjE1LTEwMDgtNGVlNy1hMmZiLTZmYjExODUwOTFmNzwvSWQ+DQogIDxFbnRyaWVzPg0KICAgIDxFbnRyeT4NCiAgICAgIDxJZD41YWVlNGZkZi00ZmVkLTRkNDktYjA1YS0yNGVkOTgwMWIwNzg8L0lkPg0KICAgICAgPFJlZmVyZW5jZUlkPjcxY2RjZjgyLTYzYzgtNGI0MS1hZTg0LTZkOWI4NzRhMmJmN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lrIGV0IGFsLiAyMDIwOyBLYXNzYSBldCBhbC4gMjAxMCk8L1RleHQ+DQogICAgPC9UZXh0VW5pdD4NCiAgPC9UZXh0VW5pdHM+DQo8L1BsYWNlaG9sZGVyPg==</w:instrText>
      </w:r>
      <w:r w:rsidRPr="00EB7634">
        <w:fldChar w:fldCharType="separate"/>
      </w:r>
      <w:bookmarkStart w:id="299" w:name="_CTVP0014d56961510084ee7a2fb6fb1185091f7"/>
      <w:r w:rsidRPr="00EB7634">
        <w:t>(Aik et al. 2020; Kassa et al. 2010)</w:t>
      </w:r>
      <w:bookmarkEnd w:id="299"/>
      <w:r w:rsidRPr="00EB7634">
        <w:fldChar w:fldCharType="end"/>
      </w:r>
      <w:r w:rsidRPr="00EB7634">
        <w:t>. These</w:t>
      </w:r>
      <w:r>
        <w:t xml:space="preserve"> types of t</w:t>
      </w:r>
      <w:r w:rsidRPr="002673C7">
        <w:t xml:space="preserve">raining programs appear to </w:t>
      </w:r>
      <w:r>
        <w:t>have a greater impact on</w:t>
      </w:r>
      <w:r w:rsidRPr="002673C7">
        <w:t xml:space="preserve"> restaurants that are not part of chains or large franchises </w:t>
      </w:r>
      <w:r w:rsidRPr="00EB7634">
        <w:fldChar w:fldCharType="begin"/>
      </w:r>
      <w:r w:rsidRPr="00EB7634">
        <w:instrText>ADDIN CITAVI.PLACEHOLDER 930d5924-819f-4f21-824a-7430d9f78d74 PFBsYWNlaG9sZGVyPg0KICA8QWRkSW5WZXJzaW9uPjUuNy4xLjA8L0FkZEluVmVyc2lvbj4NCiAgPElkPjkzMGQ1OTI0LTgxOWYtNGYyMS04MjRhLTc0MzBkOWY3OGQ3NDwvSWQ+DQogIDxFbnRyaWVzPg0KICAgIDxFbnRyeT4NCiAgICAgIDxJZD5mZjlmNjVlZC1mNDg1LTQwMTAtYjUxZi1kNTI2OWY2M2JhNmU8L0lkPg0KICAgICAgPFJlZmVyZW5jZUlkPmUwYzc3YTdlLTU3OTQtNGRkNS05MTI5LTc4NzFjYjRjMGJlN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VkYmVyZyBldCBhbC4gMjAwNik8L1RleHQ+DQogICAgPC9UZXh0VW5pdD4NCiAgPC9UZXh0VW5pdHM+DQo8L1BsYWNlaG9sZGVyPg==</w:instrText>
      </w:r>
      <w:r w:rsidRPr="00EB7634">
        <w:fldChar w:fldCharType="separate"/>
      </w:r>
      <w:bookmarkStart w:id="300" w:name="_CTVP001930d5924819f4f21824a7430d9f78d74"/>
      <w:r w:rsidRPr="00EB7634">
        <w:t>(Hedberg et al. 2006)</w:t>
      </w:r>
      <w:bookmarkEnd w:id="300"/>
      <w:r w:rsidRPr="00EB7634">
        <w:fldChar w:fldCharType="end"/>
      </w:r>
      <w:r w:rsidRPr="00EB7634">
        <w:t>.</w:t>
      </w:r>
      <w:r>
        <w:t xml:space="preserve"> </w:t>
      </w:r>
    </w:p>
    <w:p w14:paraId="685EE36C" w14:textId="77777777" w:rsidR="00CB7716" w:rsidRPr="003B2774" w:rsidRDefault="00CB7716" w:rsidP="003B2774">
      <w:pPr>
        <w:rPr>
          <w:b/>
          <w:i/>
        </w:rPr>
      </w:pPr>
      <w:bookmarkStart w:id="301" w:name="_Toc70953241"/>
      <w:r w:rsidRPr="003B2774">
        <w:rPr>
          <w:b/>
          <w:i/>
        </w:rPr>
        <w:t>Gap analysis: FSS</w:t>
      </w:r>
      <w:bookmarkEnd w:id="301"/>
    </w:p>
    <w:p w14:paraId="46173348" w14:textId="325558F7" w:rsidR="00643567" w:rsidRPr="00DD3F7A" w:rsidRDefault="00CB7716" w:rsidP="003B2774">
      <w:pPr>
        <w:spacing w:after="240"/>
        <w:rPr>
          <w:sz w:val="20"/>
        </w:rPr>
      </w:pPr>
      <w:r w:rsidRPr="009273E5">
        <w:rPr>
          <w:bCs/>
          <w:color w:val="000000" w:themeColor="text1"/>
          <w:lang w:eastAsia="en-AU"/>
        </w:rPr>
        <w:t xml:space="preserve">A gap analysis of the differing </w:t>
      </w:r>
      <w:r>
        <w:rPr>
          <w:bCs/>
          <w:color w:val="000000" w:themeColor="text1"/>
          <w:lang w:eastAsia="en-AU"/>
        </w:rPr>
        <w:t xml:space="preserve">FSS </w:t>
      </w:r>
      <w:r w:rsidRPr="009273E5">
        <w:rPr>
          <w:bCs/>
          <w:color w:val="000000" w:themeColor="text1"/>
          <w:lang w:eastAsia="en-AU"/>
        </w:rPr>
        <w:t xml:space="preserve">requirements in Australian states and territories is </w:t>
      </w:r>
      <w:r>
        <w:rPr>
          <w:bCs/>
          <w:color w:val="000000" w:themeColor="text1"/>
          <w:lang w:eastAsia="en-AU"/>
        </w:rPr>
        <w:t>outlined</w:t>
      </w:r>
      <w:r w:rsidRPr="009273E5">
        <w:rPr>
          <w:bCs/>
          <w:color w:val="000000" w:themeColor="text1"/>
          <w:lang w:eastAsia="en-AU"/>
        </w:rPr>
        <w:t xml:space="preserve"> </w:t>
      </w:r>
      <w:r w:rsidRPr="00800C45">
        <w:rPr>
          <w:bCs/>
          <w:color w:val="000000" w:themeColor="text1"/>
          <w:lang w:eastAsia="en-AU"/>
        </w:rPr>
        <w:t xml:space="preserve">in Table </w:t>
      </w:r>
      <w:r>
        <w:rPr>
          <w:bCs/>
          <w:color w:val="000000" w:themeColor="text1"/>
          <w:lang w:eastAsia="en-AU"/>
        </w:rPr>
        <w:t xml:space="preserve">3 </w:t>
      </w:r>
      <w:r w:rsidRPr="009273E5">
        <w:rPr>
          <w:bCs/>
          <w:color w:val="000000" w:themeColor="text1"/>
          <w:lang w:eastAsia="en-AU"/>
        </w:rPr>
        <w:t>below.</w:t>
      </w:r>
      <w:r>
        <w:rPr>
          <w:bCs/>
          <w:color w:val="000000" w:themeColor="text1"/>
          <w:lang w:eastAsia="en-AU"/>
        </w:rPr>
        <w:t xml:space="preserve"> In summary, the proposed FSS measure would have greatest impact on the jurisdictions that do not already have existing FSS requirements. </w:t>
      </w:r>
    </w:p>
    <w:p w14:paraId="2672AC3E" w14:textId="77777777" w:rsidR="00CB7716" w:rsidRPr="00D919F1" w:rsidRDefault="00CB7716" w:rsidP="00CB7716">
      <w:pPr>
        <w:pStyle w:val="Caption"/>
        <w:keepNext/>
        <w:rPr>
          <w:b/>
          <w:color w:val="auto"/>
          <w:sz w:val="20"/>
          <w:szCs w:val="20"/>
        </w:rPr>
      </w:pPr>
      <w:r w:rsidRPr="00D919F1">
        <w:rPr>
          <w:b/>
          <w:color w:val="auto"/>
          <w:sz w:val="20"/>
          <w:szCs w:val="20"/>
        </w:rPr>
        <w:t>Table 3: Gap analysis of food safety supervisor (FSS) requirements across jurisdictions</w:t>
      </w:r>
    </w:p>
    <w:tbl>
      <w:tblPr>
        <w:tblW w:w="10015" w:type="dxa"/>
        <w:tblLook w:val="04A0" w:firstRow="1" w:lastRow="0" w:firstColumn="1" w:lastColumn="0" w:noHBand="0" w:noVBand="1"/>
      </w:tblPr>
      <w:tblGrid>
        <w:gridCol w:w="1470"/>
        <w:gridCol w:w="4630"/>
        <w:gridCol w:w="3915"/>
      </w:tblGrid>
      <w:tr w:rsidR="00CB7716" w:rsidRPr="009273E5" w14:paraId="510F7380" w14:textId="77777777" w:rsidTr="00CB7716">
        <w:trPr>
          <w:tblHeader/>
        </w:trPr>
        <w:tc>
          <w:tcPr>
            <w:tcW w:w="147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8468218" w14:textId="77777777" w:rsidR="00CB7716" w:rsidRPr="009273E5" w:rsidRDefault="00CB7716" w:rsidP="00CB7716">
            <w:pPr>
              <w:spacing w:after="85"/>
              <w:rPr>
                <w:b/>
                <w:sz w:val="20"/>
                <w:lang w:val="en-AU"/>
              </w:rPr>
            </w:pPr>
            <w:r w:rsidRPr="009273E5">
              <w:rPr>
                <w:b/>
                <w:sz w:val="20"/>
                <w:lang w:val="en-AU"/>
              </w:rPr>
              <w:t>State/</w:t>
            </w:r>
            <w:r w:rsidRPr="009273E5">
              <w:rPr>
                <w:b/>
                <w:sz w:val="20"/>
                <w:lang w:val="en-AU"/>
              </w:rPr>
              <w:br/>
              <w:t>territory</w:t>
            </w:r>
          </w:p>
        </w:tc>
        <w:tc>
          <w:tcPr>
            <w:tcW w:w="46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3F995B4" w14:textId="77777777" w:rsidR="00CB7716" w:rsidRPr="009273E5" w:rsidRDefault="00CB7716" w:rsidP="00CB7716">
            <w:pPr>
              <w:spacing w:after="85"/>
              <w:rPr>
                <w:b/>
                <w:sz w:val="20"/>
                <w:lang w:val="en-AU"/>
              </w:rPr>
            </w:pPr>
            <w:r w:rsidRPr="009273E5">
              <w:rPr>
                <w:b/>
                <w:sz w:val="20"/>
                <w:lang w:val="en-AU"/>
              </w:rPr>
              <w:t>Current requirement</w:t>
            </w:r>
          </w:p>
        </w:tc>
        <w:tc>
          <w:tcPr>
            <w:tcW w:w="391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8F10310" w14:textId="77777777" w:rsidR="00CB7716" w:rsidRPr="009273E5" w:rsidRDefault="00CB7716" w:rsidP="00CB7716">
            <w:pPr>
              <w:spacing w:after="85"/>
              <w:rPr>
                <w:b/>
                <w:sz w:val="20"/>
                <w:lang w:val="en-AU"/>
              </w:rPr>
            </w:pPr>
            <w:r w:rsidRPr="009273E5">
              <w:rPr>
                <w:b/>
                <w:sz w:val="20"/>
                <w:lang w:val="en-AU"/>
              </w:rPr>
              <w:t>Gap</w:t>
            </w:r>
            <w:r>
              <w:rPr>
                <w:b/>
                <w:sz w:val="20"/>
                <w:lang w:val="en-AU"/>
              </w:rPr>
              <w:t xml:space="preserve"> </w:t>
            </w:r>
            <w:r w:rsidRPr="00271B7F">
              <w:rPr>
                <w:b/>
                <w:sz w:val="20"/>
                <w:lang w:val="en-AU"/>
              </w:rPr>
              <w:t>between current and proposed measure</w:t>
            </w:r>
          </w:p>
        </w:tc>
      </w:tr>
      <w:tr w:rsidR="00CB7716" w:rsidRPr="009273E5" w14:paraId="3102E180" w14:textId="77777777" w:rsidTr="00CB7716">
        <w:tc>
          <w:tcPr>
            <w:tcW w:w="1470" w:type="dxa"/>
            <w:tcBorders>
              <w:top w:val="single" w:sz="4" w:space="0" w:color="auto"/>
              <w:left w:val="single" w:sz="4" w:space="0" w:color="auto"/>
              <w:bottom w:val="single" w:sz="4" w:space="0" w:color="auto"/>
              <w:right w:val="single" w:sz="4" w:space="0" w:color="auto"/>
            </w:tcBorders>
          </w:tcPr>
          <w:p w14:paraId="58CEC48C" w14:textId="77777777" w:rsidR="00CB7716" w:rsidRPr="003B2774" w:rsidRDefault="00CB7716" w:rsidP="00CB7716">
            <w:pPr>
              <w:spacing w:after="85"/>
              <w:rPr>
                <w:rFonts w:cs="Arial"/>
                <w:sz w:val="20"/>
                <w:szCs w:val="20"/>
                <w:lang w:val="en-AU"/>
              </w:rPr>
            </w:pPr>
            <w:r w:rsidRPr="003B2774">
              <w:rPr>
                <w:rFonts w:cs="Arial"/>
                <w:sz w:val="20"/>
                <w:szCs w:val="20"/>
                <w:lang w:val="en-AU"/>
              </w:rPr>
              <w:t>National (FSC)</w:t>
            </w:r>
          </w:p>
        </w:tc>
        <w:tc>
          <w:tcPr>
            <w:tcW w:w="4630" w:type="dxa"/>
            <w:tcBorders>
              <w:top w:val="single" w:sz="4" w:space="0" w:color="auto"/>
              <w:left w:val="single" w:sz="4" w:space="0" w:color="auto"/>
              <w:bottom w:val="single" w:sz="4" w:space="0" w:color="auto"/>
              <w:right w:val="single" w:sz="4" w:space="0" w:color="auto"/>
            </w:tcBorders>
          </w:tcPr>
          <w:p w14:paraId="0F5720E7" w14:textId="77777777" w:rsidR="00CB7716" w:rsidRPr="003B2774" w:rsidRDefault="00CB7716" w:rsidP="00CB7716">
            <w:pPr>
              <w:spacing w:after="85"/>
              <w:rPr>
                <w:rFonts w:cs="Arial"/>
                <w:sz w:val="20"/>
                <w:szCs w:val="20"/>
                <w:lang w:val="en-AU"/>
              </w:rPr>
            </w:pPr>
            <w:r w:rsidRPr="003B2774">
              <w:rPr>
                <w:rFonts w:cs="Arial"/>
                <w:sz w:val="20"/>
                <w:szCs w:val="20"/>
                <w:lang w:val="en-AU"/>
              </w:rPr>
              <w:t>No legislative training requirement; however Standard 3.2.2 requires a food business to ensure persons supervising food handling operations have skills and knowledge in food safety and food hygiene matters commensurate with their work activities.</w:t>
            </w:r>
          </w:p>
          <w:p w14:paraId="1C9602EE"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Applies to all food businesses, not just P1 and P2 catering. </w:t>
            </w:r>
          </w:p>
        </w:tc>
        <w:tc>
          <w:tcPr>
            <w:tcW w:w="3915" w:type="dxa"/>
            <w:tcBorders>
              <w:top w:val="single" w:sz="4" w:space="0" w:color="auto"/>
              <w:left w:val="single" w:sz="4" w:space="0" w:color="auto"/>
              <w:bottom w:val="single" w:sz="4" w:space="0" w:color="auto"/>
              <w:right w:val="single" w:sz="4" w:space="0" w:color="auto"/>
            </w:tcBorders>
          </w:tcPr>
          <w:p w14:paraId="41FB231A"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Large gap </w:t>
            </w:r>
          </w:p>
          <w:p w14:paraId="5A7E7097" w14:textId="77777777" w:rsidR="00CB7716" w:rsidRPr="003B2774" w:rsidRDefault="00CB7716" w:rsidP="00CB7716">
            <w:pPr>
              <w:spacing w:after="85"/>
              <w:rPr>
                <w:rFonts w:cs="Arial"/>
                <w:sz w:val="20"/>
                <w:szCs w:val="20"/>
                <w:lang w:val="en-AU"/>
              </w:rPr>
            </w:pPr>
            <w:r w:rsidRPr="003B2774">
              <w:rPr>
                <w:rFonts w:cs="Arial"/>
                <w:sz w:val="20"/>
                <w:szCs w:val="20"/>
                <w:lang w:val="en-AU"/>
              </w:rPr>
              <w:t>Proposed requirement would require competency-based training and a certified person to supervise food handling. This certification would be renewed every 5 years.</w:t>
            </w:r>
          </w:p>
          <w:p w14:paraId="3FB22A05" w14:textId="77777777" w:rsidR="00CB7716" w:rsidRPr="003B2774" w:rsidRDefault="00CB7716" w:rsidP="00CB7716">
            <w:pPr>
              <w:spacing w:after="85"/>
              <w:rPr>
                <w:rFonts w:cs="Arial"/>
                <w:sz w:val="20"/>
                <w:szCs w:val="20"/>
                <w:lang w:val="en-AU"/>
              </w:rPr>
            </w:pPr>
          </w:p>
        </w:tc>
      </w:tr>
      <w:tr w:rsidR="00CB7716" w:rsidRPr="009273E5" w14:paraId="4A022414"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5691C39D" w14:textId="77777777" w:rsidR="00CB7716" w:rsidRPr="003B2774" w:rsidRDefault="00CB7716" w:rsidP="00CB7716">
            <w:pPr>
              <w:spacing w:after="85"/>
              <w:rPr>
                <w:rFonts w:cs="Arial"/>
                <w:sz w:val="20"/>
                <w:szCs w:val="20"/>
                <w:lang w:val="en-AU"/>
              </w:rPr>
            </w:pPr>
            <w:r w:rsidRPr="003B2774">
              <w:rPr>
                <w:rFonts w:cs="Arial"/>
                <w:sz w:val="20"/>
                <w:szCs w:val="20"/>
                <w:lang w:val="en-AU"/>
              </w:rPr>
              <w:t>ACT</w:t>
            </w:r>
          </w:p>
        </w:tc>
        <w:tc>
          <w:tcPr>
            <w:tcW w:w="4630" w:type="dxa"/>
            <w:tcBorders>
              <w:top w:val="single" w:sz="4" w:space="0" w:color="auto"/>
              <w:left w:val="single" w:sz="4" w:space="0" w:color="auto"/>
              <w:bottom w:val="single" w:sz="4" w:space="0" w:color="auto"/>
              <w:right w:val="single" w:sz="4" w:space="0" w:color="auto"/>
            </w:tcBorders>
          </w:tcPr>
          <w:p w14:paraId="310A4F41"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Food businesses must be registered. </w:t>
            </w:r>
          </w:p>
          <w:p w14:paraId="738F35B2" w14:textId="583080A3" w:rsidR="00CB7716" w:rsidRPr="003B2774" w:rsidRDefault="00CB7716" w:rsidP="00CB7716">
            <w:pPr>
              <w:spacing w:after="85"/>
              <w:rPr>
                <w:rFonts w:cs="Arial"/>
                <w:sz w:val="20"/>
                <w:szCs w:val="20"/>
                <w:lang w:val="en-AU"/>
              </w:rPr>
            </w:pPr>
            <w:r w:rsidRPr="003B2774">
              <w:rPr>
                <w:rFonts w:cs="Arial"/>
                <w:sz w:val="20"/>
                <w:szCs w:val="20"/>
                <w:lang w:val="en-AU"/>
              </w:rPr>
              <w:t>A FSS required for registered businesses handling PHF (includes P1 and P2 catering</w:t>
            </w:r>
            <w:r w:rsidR="0081747A" w:rsidRPr="003B2774">
              <w:rPr>
                <w:rFonts w:cs="Arial"/>
                <w:sz w:val="20"/>
                <w:szCs w:val="20"/>
                <w:lang w:val="en-AU"/>
              </w:rPr>
              <w:t xml:space="preserve"> </w:t>
            </w:r>
            <w:r w:rsidRPr="003B2774">
              <w:rPr>
                <w:rFonts w:cs="Arial"/>
                <w:sz w:val="20"/>
                <w:szCs w:val="20"/>
                <w:lang w:val="en-AU"/>
              </w:rPr>
              <w:t xml:space="preserve">and retailers of PHF). </w:t>
            </w:r>
          </w:p>
          <w:p w14:paraId="580BD9A2"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Currency of certification (must have statement of approved food safety training within last 5 years). </w:t>
            </w:r>
          </w:p>
          <w:p w14:paraId="59A91250" w14:textId="77777777" w:rsidR="00CB7716" w:rsidRPr="003B2774" w:rsidRDefault="00CB7716" w:rsidP="00CB7716">
            <w:pPr>
              <w:spacing w:after="85"/>
              <w:rPr>
                <w:rFonts w:cs="Arial"/>
                <w:sz w:val="20"/>
                <w:szCs w:val="20"/>
                <w:lang w:val="en-AU"/>
              </w:rPr>
            </w:pPr>
            <w:r w:rsidRPr="003B2774">
              <w:rPr>
                <w:rFonts w:cs="Arial"/>
                <w:sz w:val="20"/>
                <w:szCs w:val="20"/>
                <w:lang w:val="en-AU"/>
              </w:rPr>
              <w:t>FSS defined in food act.</w:t>
            </w:r>
          </w:p>
        </w:tc>
        <w:tc>
          <w:tcPr>
            <w:tcW w:w="3915" w:type="dxa"/>
            <w:tcBorders>
              <w:top w:val="single" w:sz="4" w:space="0" w:color="auto"/>
              <w:left w:val="single" w:sz="4" w:space="0" w:color="auto"/>
              <w:bottom w:val="single" w:sz="4" w:space="0" w:color="auto"/>
              <w:right w:val="single" w:sz="4" w:space="0" w:color="auto"/>
            </w:tcBorders>
            <w:hideMark/>
          </w:tcPr>
          <w:p w14:paraId="46306792" w14:textId="77777777" w:rsidR="00CB7716" w:rsidRPr="003B2774" w:rsidRDefault="00CB7716" w:rsidP="00CB7716">
            <w:pPr>
              <w:spacing w:after="85"/>
              <w:rPr>
                <w:rFonts w:cs="Arial"/>
                <w:sz w:val="20"/>
                <w:szCs w:val="20"/>
                <w:lang w:val="en-AU"/>
              </w:rPr>
            </w:pPr>
            <w:r w:rsidRPr="003B2774">
              <w:rPr>
                <w:rFonts w:cs="Arial"/>
                <w:sz w:val="20"/>
                <w:szCs w:val="20"/>
                <w:lang w:val="en-AU"/>
              </w:rPr>
              <w:t>No real gap.</w:t>
            </w:r>
          </w:p>
        </w:tc>
      </w:tr>
      <w:tr w:rsidR="00CB7716" w:rsidRPr="009273E5" w14:paraId="741BEB99"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4F2EFD83" w14:textId="77777777" w:rsidR="00CB7716" w:rsidRPr="003B2774" w:rsidRDefault="00CB7716" w:rsidP="00CB7716">
            <w:pPr>
              <w:spacing w:after="85"/>
              <w:rPr>
                <w:rFonts w:cs="Arial"/>
                <w:sz w:val="20"/>
                <w:szCs w:val="20"/>
                <w:lang w:val="en-AU"/>
              </w:rPr>
            </w:pPr>
            <w:r w:rsidRPr="003B2774">
              <w:rPr>
                <w:rFonts w:cs="Arial"/>
                <w:sz w:val="20"/>
                <w:szCs w:val="20"/>
                <w:lang w:val="en-AU"/>
              </w:rPr>
              <w:t>NSW</w:t>
            </w:r>
          </w:p>
        </w:tc>
        <w:tc>
          <w:tcPr>
            <w:tcW w:w="4630" w:type="dxa"/>
            <w:tcBorders>
              <w:top w:val="single" w:sz="4" w:space="0" w:color="auto"/>
              <w:left w:val="single" w:sz="4" w:space="0" w:color="auto"/>
              <w:bottom w:val="single" w:sz="4" w:space="0" w:color="auto"/>
              <w:right w:val="single" w:sz="4" w:space="0" w:color="auto"/>
            </w:tcBorders>
          </w:tcPr>
          <w:p w14:paraId="58C07A28"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Certain businesses must be licenced (based on criteria and includes P1 and P2). </w:t>
            </w:r>
          </w:p>
          <w:p w14:paraId="6B1B3C20"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At least 1 FSS required for businesses processing/selling ready-to-eat PHF that is not pre-packaged (includes P1 and P2 catering). </w:t>
            </w:r>
          </w:p>
          <w:p w14:paraId="0EDE9189"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Currency of certification (must have certificate from approved RTO within last 5 years). </w:t>
            </w:r>
          </w:p>
          <w:p w14:paraId="0B81FCA1" w14:textId="77777777" w:rsidR="00CB7716" w:rsidRPr="003B2774" w:rsidRDefault="00CB7716" w:rsidP="00CB7716">
            <w:pPr>
              <w:spacing w:after="85"/>
              <w:rPr>
                <w:rFonts w:cs="Arial"/>
                <w:sz w:val="20"/>
                <w:szCs w:val="20"/>
                <w:lang w:val="en-AU"/>
              </w:rPr>
            </w:pPr>
            <w:r w:rsidRPr="003B2774">
              <w:rPr>
                <w:rFonts w:cs="Arial"/>
                <w:sz w:val="20"/>
                <w:szCs w:val="20"/>
                <w:lang w:val="en-AU"/>
              </w:rPr>
              <w:t>FSS defined in food act.</w:t>
            </w:r>
          </w:p>
        </w:tc>
        <w:tc>
          <w:tcPr>
            <w:tcW w:w="3915" w:type="dxa"/>
            <w:tcBorders>
              <w:top w:val="single" w:sz="4" w:space="0" w:color="auto"/>
              <w:left w:val="single" w:sz="4" w:space="0" w:color="auto"/>
              <w:bottom w:val="single" w:sz="4" w:space="0" w:color="auto"/>
              <w:right w:val="single" w:sz="4" w:space="0" w:color="auto"/>
            </w:tcBorders>
            <w:hideMark/>
          </w:tcPr>
          <w:p w14:paraId="14C56763" w14:textId="77777777" w:rsidR="00CB7716" w:rsidRPr="003B2774" w:rsidRDefault="00CB7716" w:rsidP="00CB7716">
            <w:pPr>
              <w:spacing w:after="85"/>
              <w:rPr>
                <w:rFonts w:cs="Arial"/>
                <w:sz w:val="20"/>
                <w:szCs w:val="20"/>
                <w:lang w:val="en-AU"/>
              </w:rPr>
            </w:pPr>
            <w:r w:rsidRPr="003B2774">
              <w:rPr>
                <w:rFonts w:cs="Arial"/>
                <w:sz w:val="20"/>
                <w:szCs w:val="20"/>
                <w:lang w:val="en-AU"/>
              </w:rPr>
              <w:t>No real gap.</w:t>
            </w:r>
          </w:p>
        </w:tc>
      </w:tr>
      <w:tr w:rsidR="00CB7716" w:rsidRPr="009273E5" w14:paraId="3F941BFD"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6E2A33FB" w14:textId="77777777" w:rsidR="00CB7716" w:rsidRPr="003B2774" w:rsidRDefault="00CB7716" w:rsidP="00CB7716">
            <w:pPr>
              <w:spacing w:after="85"/>
              <w:rPr>
                <w:rFonts w:cs="Arial"/>
                <w:sz w:val="20"/>
                <w:szCs w:val="20"/>
                <w:lang w:val="en-AU"/>
              </w:rPr>
            </w:pPr>
            <w:r w:rsidRPr="003B2774">
              <w:rPr>
                <w:rFonts w:cs="Arial"/>
                <w:sz w:val="20"/>
                <w:szCs w:val="20"/>
                <w:lang w:val="en-AU"/>
              </w:rPr>
              <w:t>NT</w:t>
            </w:r>
          </w:p>
        </w:tc>
        <w:tc>
          <w:tcPr>
            <w:tcW w:w="4630" w:type="dxa"/>
            <w:tcBorders>
              <w:top w:val="single" w:sz="4" w:space="0" w:color="auto"/>
              <w:left w:val="single" w:sz="4" w:space="0" w:color="auto"/>
              <w:bottom w:val="single" w:sz="4" w:space="0" w:color="auto"/>
              <w:right w:val="single" w:sz="4" w:space="0" w:color="auto"/>
            </w:tcBorders>
          </w:tcPr>
          <w:p w14:paraId="6419177F"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Food businesses must be registered. </w:t>
            </w:r>
          </w:p>
          <w:p w14:paraId="31A751F5"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No requirement for FSS. </w:t>
            </w:r>
          </w:p>
          <w:p w14:paraId="7AFFF047"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standardised or competency-based training.</w:t>
            </w:r>
          </w:p>
        </w:tc>
        <w:tc>
          <w:tcPr>
            <w:tcW w:w="3915" w:type="dxa"/>
            <w:tcBorders>
              <w:top w:val="single" w:sz="4" w:space="0" w:color="auto"/>
              <w:left w:val="single" w:sz="4" w:space="0" w:color="auto"/>
              <w:bottom w:val="single" w:sz="4" w:space="0" w:color="auto"/>
              <w:right w:val="single" w:sz="4" w:space="0" w:color="auto"/>
            </w:tcBorders>
          </w:tcPr>
          <w:p w14:paraId="47B1D08C" w14:textId="77777777" w:rsidR="00CB7716" w:rsidRPr="003B2774" w:rsidRDefault="00CB7716" w:rsidP="00CB7716">
            <w:pPr>
              <w:spacing w:after="85"/>
              <w:rPr>
                <w:rFonts w:cs="Arial"/>
                <w:sz w:val="20"/>
                <w:szCs w:val="20"/>
                <w:lang w:val="en-AU"/>
              </w:rPr>
            </w:pPr>
            <w:r w:rsidRPr="003B2774">
              <w:rPr>
                <w:rFonts w:cs="Arial"/>
                <w:sz w:val="20"/>
                <w:szCs w:val="20"/>
                <w:lang w:val="en-AU"/>
              </w:rPr>
              <w:t>Large gap.</w:t>
            </w:r>
          </w:p>
          <w:p w14:paraId="0B9A7556"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would require FSS with competency training renewed every 5 years.</w:t>
            </w:r>
          </w:p>
        </w:tc>
      </w:tr>
      <w:tr w:rsidR="00CB7716" w:rsidRPr="009273E5" w14:paraId="5231B865"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30029825" w14:textId="77777777" w:rsidR="00CB7716" w:rsidRPr="003B2774" w:rsidRDefault="00CB7716" w:rsidP="00CB7716">
            <w:pPr>
              <w:spacing w:after="85"/>
              <w:rPr>
                <w:rFonts w:cs="Arial"/>
                <w:sz w:val="20"/>
                <w:szCs w:val="20"/>
                <w:lang w:val="en-AU"/>
              </w:rPr>
            </w:pPr>
            <w:r w:rsidRPr="003B2774">
              <w:rPr>
                <w:rFonts w:cs="Arial"/>
                <w:sz w:val="20"/>
                <w:szCs w:val="20"/>
                <w:lang w:val="en-AU"/>
              </w:rPr>
              <w:t>Queensland</w:t>
            </w:r>
          </w:p>
        </w:tc>
        <w:tc>
          <w:tcPr>
            <w:tcW w:w="4630" w:type="dxa"/>
            <w:tcBorders>
              <w:top w:val="single" w:sz="4" w:space="0" w:color="auto"/>
              <w:left w:val="single" w:sz="4" w:space="0" w:color="auto"/>
              <w:bottom w:val="single" w:sz="4" w:space="0" w:color="auto"/>
              <w:right w:val="single" w:sz="4" w:space="0" w:color="auto"/>
            </w:tcBorders>
          </w:tcPr>
          <w:p w14:paraId="6E93981C"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Certain businesses must be licenced (based on criteria and includes P1 and P2). </w:t>
            </w:r>
          </w:p>
          <w:p w14:paraId="2F3F4DC1"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A licenced business must have at least 1 FSS. </w:t>
            </w:r>
            <w:r w:rsidRPr="003B2774">
              <w:rPr>
                <w:rFonts w:cs="Arial"/>
                <w:sz w:val="20"/>
                <w:szCs w:val="20"/>
                <w:lang w:val="en-AU"/>
              </w:rPr>
              <w:br/>
              <w:t>No regulatory requirement for the training provider to be an RTO (in guidance material).</w:t>
            </w:r>
          </w:p>
          <w:p w14:paraId="2A96A807" w14:textId="77777777" w:rsidR="00CB7716" w:rsidRPr="003B2774" w:rsidRDefault="00CB7716" w:rsidP="00CB7716">
            <w:pPr>
              <w:spacing w:after="85"/>
              <w:rPr>
                <w:rFonts w:cs="Arial"/>
                <w:sz w:val="20"/>
                <w:szCs w:val="20"/>
                <w:lang w:val="en-AU"/>
              </w:rPr>
            </w:pPr>
            <w:r w:rsidRPr="003B2774">
              <w:rPr>
                <w:rFonts w:cs="Arial"/>
                <w:sz w:val="20"/>
                <w:szCs w:val="20"/>
                <w:lang w:val="en-AU"/>
              </w:rPr>
              <w:t>No currency requirement (no expiry of FSS certification).</w:t>
            </w:r>
          </w:p>
        </w:tc>
        <w:tc>
          <w:tcPr>
            <w:tcW w:w="3915" w:type="dxa"/>
            <w:tcBorders>
              <w:top w:val="single" w:sz="4" w:space="0" w:color="auto"/>
              <w:left w:val="single" w:sz="4" w:space="0" w:color="auto"/>
              <w:bottom w:val="single" w:sz="4" w:space="0" w:color="auto"/>
              <w:right w:val="single" w:sz="4" w:space="0" w:color="auto"/>
            </w:tcBorders>
            <w:hideMark/>
          </w:tcPr>
          <w:p w14:paraId="70B8CFE2" w14:textId="77777777" w:rsidR="00CB7716" w:rsidRPr="003B2774" w:rsidRDefault="00CB7716" w:rsidP="00CB7716">
            <w:pPr>
              <w:spacing w:after="85"/>
              <w:rPr>
                <w:rFonts w:cs="Arial"/>
                <w:sz w:val="20"/>
                <w:szCs w:val="20"/>
                <w:lang w:val="en-AU"/>
              </w:rPr>
            </w:pPr>
            <w:r w:rsidRPr="003B2774">
              <w:rPr>
                <w:rFonts w:cs="Arial"/>
                <w:sz w:val="20"/>
                <w:szCs w:val="20"/>
                <w:lang w:val="en-AU"/>
              </w:rPr>
              <w:t>Small gap.</w:t>
            </w:r>
          </w:p>
          <w:p w14:paraId="7D0C0BE8"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requires re-certification after 5 years and that training be provided by an RTO.</w:t>
            </w:r>
          </w:p>
        </w:tc>
      </w:tr>
      <w:tr w:rsidR="00CB7716" w:rsidRPr="009273E5" w14:paraId="235D421D"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587BD0EF" w14:textId="77777777" w:rsidR="00CB7716" w:rsidRPr="003B2774" w:rsidRDefault="00CB7716" w:rsidP="00CB7716">
            <w:pPr>
              <w:spacing w:after="85"/>
              <w:rPr>
                <w:rFonts w:cs="Arial"/>
                <w:sz w:val="20"/>
                <w:szCs w:val="20"/>
                <w:lang w:val="en-AU"/>
              </w:rPr>
            </w:pPr>
            <w:r w:rsidRPr="003B2774">
              <w:rPr>
                <w:rFonts w:cs="Arial"/>
                <w:sz w:val="20"/>
                <w:szCs w:val="20"/>
                <w:lang w:val="en-AU"/>
              </w:rPr>
              <w:t>SA</w:t>
            </w:r>
          </w:p>
        </w:tc>
        <w:tc>
          <w:tcPr>
            <w:tcW w:w="4630" w:type="dxa"/>
            <w:tcBorders>
              <w:top w:val="single" w:sz="4" w:space="0" w:color="auto"/>
              <w:left w:val="single" w:sz="4" w:space="0" w:color="auto"/>
              <w:bottom w:val="single" w:sz="4" w:space="0" w:color="auto"/>
              <w:right w:val="single" w:sz="4" w:space="0" w:color="auto"/>
            </w:tcBorders>
          </w:tcPr>
          <w:p w14:paraId="210B3D4A"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Notification requirement only (no registration or licencing requirements). </w:t>
            </w:r>
          </w:p>
          <w:p w14:paraId="473AF8E7"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FSS.</w:t>
            </w:r>
          </w:p>
          <w:p w14:paraId="3C6B9886" w14:textId="77777777" w:rsidR="00CB7716" w:rsidRPr="003B2774" w:rsidRDefault="00CB7716" w:rsidP="00CB7716">
            <w:pPr>
              <w:spacing w:after="85"/>
              <w:rPr>
                <w:rFonts w:cs="Arial"/>
                <w:sz w:val="20"/>
                <w:szCs w:val="20"/>
                <w:lang w:val="en-AU"/>
              </w:rPr>
            </w:pPr>
            <w:r w:rsidRPr="003B2774">
              <w:rPr>
                <w:rFonts w:cs="Arial"/>
                <w:sz w:val="20"/>
                <w:szCs w:val="20"/>
                <w:lang w:val="en-AU"/>
              </w:rPr>
              <w:lastRenderedPageBreak/>
              <w:t>No requirement for standardised or competency-based training.</w:t>
            </w:r>
          </w:p>
        </w:tc>
        <w:tc>
          <w:tcPr>
            <w:tcW w:w="3915" w:type="dxa"/>
            <w:tcBorders>
              <w:top w:val="single" w:sz="4" w:space="0" w:color="auto"/>
              <w:left w:val="single" w:sz="4" w:space="0" w:color="auto"/>
              <w:bottom w:val="single" w:sz="4" w:space="0" w:color="auto"/>
              <w:right w:val="single" w:sz="4" w:space="0" w:color="auto"/>
            </w:tcBorders>
          </w:tcPr>
          <w:p w14:paraId="06C72805" w14:textId="77777777" w:rsidR="00CB7716" w:rsidRPr="003B2774" w:rsidRDefault="00CB7716" w:rsidP="00CB7716">
            <w:pPr>
              <w:spacing w:after="85"/>
              <w:rPr>
                <w:rFonts w:cs="Arial"/>
                <w:sz w:val="20"/>
                <w:szCs w:val="20"/>
                <w:lang w:val="en-AU"/>
              </w:rPr>
            </w:pPr>
            <w:r w:rsidRPr="003B2774">
              <w:rPr>
                <w:rFonts w:cs="Arial"/>
                <w:sz w:val="20"/>
                <w:szCs w:val="20"/>
                <w:lang w:val="en-AU"/>
              </w:rPr>
              <w:lastRenderedPageBreak/>
              <w:t>Large gap.</w:t>
            </w:r>
          </w:p>
          <w:p w14:paraId="21570B67"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Proposed measure would require FSS with competency training renewed every </w:t>
            </w:r>
            <w:r w:rsidRPr="003B2774">
              <w:rPr>
                <w:rFonts w:cs="Arial"/>
                <w:sz w:val="20"/>
                <w:szCs w:val="20"/>
                <w:lang w:val="en-AU"/>
              </w:rPr>
              <w:lastRenderedPageBreak/>
              <w:t>5 years.</w:t>
            </w:r>
          </w:p>
        </w:tc>
      </w:tr>
      <w:tr w:rsidR="00CB7716" w:rsidRPr="009273E5" w14:paraId="33299AB7"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4BBE2841" w14:textId="77777777" w:rsidR="00CB7716" w:rsidRPr="003B2774" w:rsidRDefault="00CB7716" w:rsidP="00CB7716">
            <w:pPr>
              <w:spacing w:after="85"/>
              <w:rPr>
                <w:rFonts w:cs="Arial"/>
                <w:sz w:val="20"/>
                <w:szCs w:val="20"/>
                <w:lang w:val="en-AU"/>
              </w:rPr>
            </w:pPr>
            <w:r w:rsidRPr="003B2774">
              <w:rPr>
                <w:rFonts w:cs="Arial"/>
                <w:sz w:val="20"/>
                <w:szCs w:val="20"/>
                <w:lang w:val="en-AU"/>
              </w:rPr>
              <w:lastRenderedPageBreak/>
              <w:t>Tasmania</w:t>
            </w:r>
          </w:p>
        </w:tc>
        <w:tc>
          <w:tcPr>
            <w:tcW w:w="4630" w:type="dxa"/>
            <w:tcBorders>
              <w:top w:val="single" w:sz="4" w:space="0" w:color="auto"/>
              <w:left w:val="single" w:sz="4" w:space="0" w:color="auto"/>
              <w:bottom w:val="single" w:sz="4" w:space="0" w:color="auto"/>
              <w:right w:val="single" w:sz="4" w:space="0" w:color="auto"/>
            </w:tcBorders>
          </w:tcPr>
          <w:p w14:paraId="591B17A9"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Notification requirement only. </w:t>
            </w:r>
          </w:p>
          <w:p w14:paraId="7F678442"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Director of Public Health may require registration. </w:t>
            </w:r>
          </w:p>
          <w:p w14:paraId="4149DE53"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FSS.</w:t>
            </w:r>
          </w:p>
          <w:p w14:paraId="49E2E3DA"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training, or standardised or competency-based training.</w:t>
            </w:r>
          </w:p>
        </w:tc>
        <w:tc>
          <w:tcPr>
            <w:tcW w:w="3915" w:type="dxa"/>
            <w:tcBorders>
              <w:top w:val="single" w:sz="4" w:space="0" w:color="auto"/>
              <w:left w:val="single" w:sz="4" w:space="0" w:color="auto"/>
              <w:bottom w:val="single" w:sz="4" w:space="0" w:color="auto"/>
              <w:right w:val="single" w:sz="4" w:space="0" w:color="auto"/>
            </w:tcBorders>
          </w:tcPr>
          <w:p w14:paraId="204C09E6" w14:textId="77777777" w:rsidR="00CB7716" w:rsidRPr="003B2774" w:rsidRDefault="00CB7716" w:rsidP="00CB7716">
            <w:pPr>
              <w:spacing w:after="85"/>
              <w:rPr>
                <w:rFonts w:cs="Arial"/>
                <w:sz w:val="20"/>
                <w:szCs w:val="20"/>
                <w:lang w:val="en-AU"/>
              </w:rPr>
            </w:pPr>
            <w:r w:rsidRPr="003B2774">
              <w:rPr>
                <w:rFonts w:cs="Arial"/>
                <w:sz w:val="20"/>
                <w:szCs w:val="20"/>
                <w:lang w:val="en-AU"/>
              </w:rPr>
              <w:t>Large gap.</w:t>
            </w:r>
          </w:p>
          <w:p w14:paraId="20247F05"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would require FSS with competency training renewed every 5 years.</w:t>
            </w:r>
          </w:p>
        </w:tc>
      </w:tr>
      <w:tr w:rsidR="00CB7716" w:rsidRPr="009273E5" w14:paraId="0C0C0E16"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5E212549" w14:textId="77777777" w:rsidR="00CB7716" w:rsidRPr="003B2774" w:rsidRDefault="00CB7716" w:rsidP="00CB7716">
            <w:pPr>
              <w:spacing w:after="85"/>
              <w:rPr>
                <w:rFonts w:cs="Arial"/>
                <w:sz w:val="20"/>
                <w:szCs w:val="20"/>
                <w:lang w:val="en-AU"/>
              </w:rPr>
            </w:pPr>
            <w:r w:rsidRPr="003B2774">
              <w:rPr>
                <w:rFonts w:cs="Arial"/>
                <w:sz w:val="20"/>
                <w:szCs w:val="20"/>
                <w:lang w:val="en-AU"/>
              </w:rPr>
              <w:t>Victoria</w:t>
            </w:r>
          </w:p>
        </w:tc>
        <w:tc>
          <w:tcPr>
            <w:tcW w:w="4630" w:type="dxa"/>
            <w:tcBorders>
              <w:top w:val="single" w:sz="4" w:space="0" w:color="auto"/>
              <w:left w:val="single" w:sz="4" w:space="0" w:color="auto"/>
              <w:bottom w:val="single" w:sz="4" w:space="0" w:color="auto"/>
              <w:right w:val="single" w:sz="4" w:space="0" w:color="auto"/>
            </w:tcBorders>
          </w:tcPr>
          <w:p w14:paraId="38A0544F"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All businesses must be registered or notified; specified as priority Class from 1 to 4. </w:t>
            </w:r>
          </w:p>
          <w:p w14:paraId="79CF3F06" w14:textId="77777777" w:rsidR="00CB7716" w:rsidRPr="003B2774" w:rsidRDefault="00CB7716" w:rsidP="00CB7716">
            <w:pPr>
              <w:spacing w:after="85"/>
              <w:rPr>
                <w:rFonts w:cs="Arial"/>
                <w:sz w:val="20"/>
                <w:szCs w:val="20"/>
                <w:lang w:val="en-AU"/>
              </w:rPr>
            </w:pPr>
            <w:r w:rsidRPr="003B2774">
              <w:rPr>
                <w:rFonts w:cs="Arial"/>
                <w:sz w:val="20"/>
                <w:szCs w:val="20"/>
                <w:lang w:val="en-AU"/>
              </w:rPr>
              <w:t>FSS defined in food act.</w:t>
            </w:r>
          </w:p>
          <w:p w14:paraId="1EB1D1B4"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Class 1 and class 2 business (covers P1 and P2 in-scope businesses) required to have FSS. </w:t>
            </w:r>
          </w:p>
          <w:p w14:paraId="26C69812" w14:textId="77777777" w:rsidR="00CB7716" w:rsidRPr="003B2774" w:rsidRDefault="00CB7716" w:rsidP="00CB7716">
            <w:pPr>
              <w:spacing w:after="85"/>
              <w:rPr>
                <w:rFonts w:cs="Arial"/>
                <w:sz w:val="20"/>
                <w:szCs w:val="20"/>
                <w:lang w:val="en-AU"/>
              </w:rPr>
            </w:pPr>
            <w:r w:rsidRPr="003B2774">
              <w:rPr>
                <w:rFonts w:cs="Arial"/>
                <w:sz w:val="20"/>
                <w:szCs w:val="20"/>
                <w:lang w:val="en-AU"/>
              </w:rPr>
              <w:t>No currency requirement (no expiry).</w:t>
            </w:r>
          </w:p>
        </w:tc>
        <w:tc>
          <w:tcPr>
            <w:tcW w:w="3915" w:type="dxa"/>
            <w:tcBorders>
              <w:top w:val="single" w:sz="4" w:space="0" w:color="auto"/>
              <w:left w:val="single" w:sz="4" w:space="0" w:color="auto"/>
              <w:bottom w:val="single" w:sz="4" w:space="0" w:color="auto"/>
              <w:right w:val="single" w:sz="4" w:space="0" w:color="auto"/>
            </w:tcBorders>
            <w:hideMark/>
          </w:tcPr>
          <w:p w14:paraId="2BC4AE6D" w14:textId="77777777" w:rsidR="00CB7716" w:rsidRPr="003B2774" w:rsidRDefault="00CB7716" w:rsidP="00CB7716">
            <w:pPr>
              <w:spacing w:after="85"/>
              <w:rPr>
                <w:rFonts w:cs="Arial"/>
                <w:sz w:val="20"/>
                <w:szCs w:val="20"/>
                <w:lang w:val="en-AU"/>
              </w:rPr>
            </w:pPr>
            <w:r w:rsidRPr="003B2774">
              <w:rPr>
                <w:rFonts w:cs="Arial"/>
                <w:sz w:val="20"/>
                <w:szCs w:val="20"/>
                <w:lang w:val="en-AU"/>
              </w:rPr>
              <w:t>Small gap.</w:t>
            </w:r>
          </w:p>
          <w:p w14:paraId="336454CE"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requires re-certification after 5 years.</w:t>
            </w:r>
          </w:p>
          <w:p w14:paraId="2B162812" w14:textId="77777777" w:rsidR="00CB7716" w:rsidRPr="003B2774" w:rsidRDefault="00CB7716" w:rsidP="00CB7716">
            <w:pPr>
              <w:spacing w:after="85"/>
              <w:rPr>
                <w:rFonts w:cs="Arial"/>
                <w:sz w:val="20"/>
                <w:szCs w:val="20"/>
                <w:lang w:val="en-AU"/>
              </w:rPr>
            </w:pPr>
          </w:p>
        </w:tc>
      </w:tr>
      <w:tr w:rsidR="00CB7716" w:rsidRPr="009273E5" w14:paraId="2998CA91" w14:textId="77777777" w:rsidTr="00CB7716">
        <w:tc>
          <w:tcPr>
            <w:tcW w:w="1470" w:type="dxa"/>
            <w:tcBorders>
              <w:top w:val="single" w:sz="4" w:space="0" w:color="auto"/>
              <w:left w:val="single" w:sz="4" w:space="0" w:color="auto"/>
              <w:bottom w:val="single" w:sz="4" w:space="0" w:color="auto"/>
              <w:right w:val="single" w:sz="4" w:space="0" w:color="auto"/>
            </w:tcBorders>
            <w:hideMark/>
          </w:tcPr>
          <w:p w14:paraId="458529C6" w14:textId="77777777" w:rsidR="00CB7716" w:rsidRPr="003B2774" w:rsidRDefault="00CB7716" w:rsidP="00CB7716">
            <w:pPr>
              <w:spacing w:after="85"/>
              <w:rPr>
                <w:rFonts w:cs="Arial"/>
                <w:sz w:val="20"/>
                <w:szCs w:val="20"/>
                <w:lang w:val="en-AU"/>
              </w:rPr>
            </w:pPr>
            <w:r w:rsidRPr="003B2774">
              <w:rPr>
                <w:rFonts w:cs="Arial"/>
                <w:sz w:val="20"/>
                <w:szCs w:val="20"/>
                <w:lang w:val="en-AU"/>
              </w:rPr>
              <w:t>WA</w:t>
            </w:r>
          </w:p>
        </w:tc>
        <w:tc>
          <w:tcPr>
            <w:tcW w:w="4630" w:type="dxa"/>
            <w:tcBorders>
              <w:top w:val="single" w:sz="4" w:space="0" w:color="auto"/>
              <w:left w:val="single" w:sz="4" w:space="0" w:color="auto"/>
              <w:bottom w:val="single" w:sz="4" w:space="0" w:color="auto"/>
              <w:right w:val="single" w:sz="4" w:space="0" w:color="auto"/>
            </w:tcBorders>
          </w:tcPr>
          <w:p w14:paraId="20A06B38" w14:textId="77777777" w:rsidR="00CB7716" w:rsidRPr="003B2774" w:rsidRDefault="00CB7716" w:rsidP="00CB7716">
            <w:pPr>
              <w:spacing w:after="85"/>
              <w:rPr>
                <w:rFonts w:cs="Arial"/>
                <w:sz w:val="20"/>
                <w:szCs w:val="20"/>
                <w:lang w:val="en-AU"/>
              </w:rPr>
            </w:pPr>
            <w:r w:rsidRPr="003B2774">
              <w:rPr>
                <w:rFonts w:cs="Arial"/>
                <w:sz w:val="20"/>
                <w:szCs w:val="20"/>
                <w:lang w:val="en-AU"/>
              </w:rPr>
              <w:t xml:space="preserve">Notification requirement only (no registration or licencing requirements). </w:t>
            </w:r>
          </w:p>
          <w:p w14:paraId="453E1876"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FSS.</w:t>
            </w:r>
          </w:p>
          <w:p w14:paraId="7A3D4DE4" w14:textId="77777777" w:rsidR="00CB7716" w:rsidRPr="003B2774" w:rsidRDefault="00CB7716" w:rsidP="00CB7716">
            <w:pPr>
              <w:spacing w:after="85"/>
              <w:rPr>
                <w:rFonts w:cs="Arial"/>
                <w:sz w:val="20"/>
                <w:szCs w:val="20"/>
                <w:lang w:val="en-AU"/>
              </w:rPr>
            </w:pPr>
            <w:r w:rsidRPr="003B2774">
              <w:rPr>
                <w:rFonts w:cs="Arial"/>
                <w:sz w:val="20"/>
                <w:szCs w:val="20"/>
                <w:lang w:val="en-AU"/>
              </w:rPr>
              <w:t>No requirement for training, or standardised or competency-based training.</w:t>
            </w:r>
          </w:p>
        </w:tc>
        <w:tc>
          <w:tcPr>
            <w:tcW w:w="3915" w:type="dxa"/>
            <w:tcBorders>
              <w:top w:val="single" w:sz="4" w:space="0" w:color="auto"/>
              <w:left w:val="single" w:sz="4" w:space="0" w:color="auto"/>
              <w:bottom w:val="single" w:sz="4" w:space="0" w:color="auto"/>
              <w:right w:val="single" w:sz="4" w:space="0" w:color="auto"/>
            </w:tcBorders>
          </w:tcPr>
          <w:p w14:paraId="1CE21AAB" w14:textId="77777777" w:rsidR="00CB7716" w:rsidRPr="003B2774" w:rsidRDefault="00CB7716" w:rsidP="00CB7716">
            <w:pPr>
              <w:spacing w:after="85"/>
              <w:rPr>
                <w:rFonts w:cs="Arial"/>
                <w:sz w:val="20"/>
                <w:szCs w:val="20"/>
                <w:lang w:val="en-AU"/>
              </w:rPr>
            </w:pPr>
            <w:r w:rsidRPr="003B2774">
              <w:rPr>
                <w:rFonts w:cs="Arial"/>
                <w:sz w:val="20"/>
                <w:szCs w:val="20"/>
                <w:lang w:val="en-AU"/>
              </w:rPr>
              <w:t>Large gap.</w:t>
            </w:r>
          </w:p>
          <w:p w14:paraId="2925C8E5" w14:textId="77777777" w:rsidR="00CB7716" w:rsidRPr="003B2774" w:rsidRDefault="00CB7716" w:rsidP="00CB7716">
            <w:pPr>
              <w:spacing w:after="85"/>
              <w:rPr>
                <w:rFonts w:cs="Arial"/>
                <w:sz w:val="20"/>
                <w:szCs w:val="20"/>
                <w:lang w:val="en-AU"/>
              </w:rPr>
            </w:pPr>
            <w:r w:rsidRPr="003B2774">
              <w:rPr>
                <w:rFonts w:cs="Arial"/>
                <w:sz w:val="20"/>
                <w:szCs w:val="20"/>
                <w:lang w:val="en-AU"/>
              </w:rPr>
              <w:t>Proposed measure would require FSS with competency training renewed every 5 years.</w:t>
            </w:r>
          </w:p>
        </w:tc>
      </w:tr>
    </w:tbl>
    <w:p w14:paraId="659FDA31" w14:textId="77777777" w:rsidR="00CB7716" w:rsidRPr="00A1620D" w:rsidRDefault="00CB7716" w:rsidP="00CB7716">
      <w:pPr>
        <w:rPr>
          <w:sz w:val="20"/>
        </w:rPr>
      </w:pPr>
      <w:r>
        <w:rPr>
          <w:sz w:val="20"/>
        </w:rPr>
        <w:t xml:space="preserve">FSC = Food Standards Code, P1 and P2 = priority classifications under the national </w:t>
      </w:r>
      <w:r w:rsidRPr="00745327">
        <w:rPr>
          <w:sz w:val="20"/>
        </w:rPr>
        <w:t>Risk Profiling Framework</w:t>
      </w:r>
      <w:r>
        <w:rPr>
          <w:sz w:val="20"/>
        </w:rPr>
        <w:t xml:space="preserve">, </w:t>
      </w:r>
      <w:r w:rsidRPr="00A1620D">
        <w:rPr>
          <w:sz w:val="20"/>
        </w:rPr>
        <w:t>PHF = potentially hazardous food, RTO= r</w:t>
      </w:r>
      <w:r>
        <w:rPr>
          <w:sz w:val="20"/>
        </w:rPr>
        <w:t>egistered training organisation</w:t>
      </w:r>
    </w:p>
    <w:p w14:paraId="74F2063E" w14:textId="77777777" w:rsidR="003B2774" w:rsidRDefault="003B2774" w:rsidP="006E77ED">
      <w:bookmarkStart w:id="302" w:name="_Toc87275046"/>
    </w:p>
    <w:p w14:paraId="40826883" w14:textId="55D8B058" w:rsidR="00CB7716" w:rsidRPr="003B2774" w:rsidRDefault="00CB7716" w:rsidP="003B2774">
      <w:pPr>
        <w:rPr>
          <w:b/>
          <w:i/>
        </w:rPr>
      </w:pPr>
      <w:r w:rsidRPr="003B2774">
        <w:rPr>
          <w:b/>
          <w:i/>
        </w:rPr>
        <w:t>Implementation: FSS</w:t>
      </w:r>
      <w:bookmarkEnd w:id="302"/>
    </w:p>
    <w:p w14:paraId="65F033D7" w14:textId="09208E85" w:rsidR="00CB7716" w:rsidRDefault="00CB7716" w:rsidP="003B2774">
      <w:pPr>
        <w:spacing w:after="240"/>
      </w:pPr>
      <w:r>
        <w:t xml:space="preserve">FSS certification would require successful completion of training that is competency verified (i.e. including formal assessment). </w:t>
      </w:r>
    </w:p>
    <w:p w14:paraId="4B01BF88" w14:textId="7CC6ACFF" w:rsidR="00CB7716" w:rsidRDefault="00CB7716" w:rsidP="003B2774">
      <w:pPr>
        <w:spacing w:after="240"/>
      </w:pPr>
      <w:r>
        <w:t xml:space="preserve">Through such training, a FSS would be qualified in recognising and preventing the risks associated with food handling in a food service and retail food business. FSANZ considers that FSS with specified competency training would be able to manage the overall food safety of the business, across staff. </w:t>
      </w:r>
    </w:p>
    <w:p w14:paraId="1D1DAAFC" w14:textId="5F2932DC" w:rsidR="00CB7716" w:rsidRPr="000D45EF" w:rsidRDefault="00CB7716" w:rsidP="003B2774">
      <w:pPr>
        <w:spacing w:after="240"/>
        <w:rPr>
          <w:rFonts w:ascii="Times New Roman" w:hAnsi="Times New Roman"/>
          <w:sz w:val="24"/>
          <w:lang w:val="en-US" w:eastAsia="en-GB"/>
        </w:rPr>
      </w:pPr>
      <w:r w:rsidRPr="68C0CA2D">
        <w:rPr>
          <w:rFonts w:cs="Arial"/>
          <w:lang w:val="en-AU" w:eastAsia="en-GB"/>
        </w:rPr>
        <w:t>The presence of a FSS at the business is not only an important point of contact for food handlers, but also food regulators.</w:t>
      </w:r>
      <w:r w:rsidRPr="68C0CA2D">
        <w:rPr>
          <w:rFonts w:cs="Arial"/>
          <w:lang w:val="en-US" w:eastAsia="en-GB"/>
        </w:rPr>
        <w:t> </w:t>
      </w:r>
      <w:r w:rsidRPr="68C0CA2D">
        <w:rPr>
          <w:rFonts w:cs="Arial"/>
          <w:lang w:val="en-AU" w:eastAsia="en-GB"/>
        </w:rPr>
        <w:t>The authority and abilities of a FSS may be assessed by a regulator on site, through observing normal operating practices, or discussing daily operations, responsibilities and reporting lines.</w:t>
      </w:r>
      <w:r w:rsidRPr="68C0CA2D">
        <w:rPr>
          <w:rFonts w:cs="Arial"/>
          <w:lang w:val="en-US" w:eastAsia="en-GB"/>
        </w:rPr>
        <w:t> </w:t>
      </w:r>
      <w:r w:rsidRPr="48861835">
        <w:rPr>
          <w:rFonts w:cs="Arial"/>
          <w:lang w:val="en-AU" w:eastAsia="en-GB"/>
        </w:rPr>
        <w:t>The</w:t>
      </w:r>
      <w:r w:rsidRPr="68C0CA2D">
        <w:rPr>
          <w:rFonts w:cs="Arial"/>
          <w:lang w:val="en-AU" w:eastAsia="en-GB"/>
        </w:rPr>
        <w:t xml:space="preserve"> FSS </w:t>
      </w:r>
      <w:r w:rsidRPr="48861835">
        <w:rPr>
          <w:rFonts w:cs="Arial"/>
          <w:lang w:val="en-AU" w:eastAsia="en-GB"/>
        </w:rPr>
        <w:t>will</w:t>
      </w:r>
      <w:r w:rsidRPr="68C0CA2D">
        <w:rPr>
          <w:rFonts w:cs="Arial"/>
          <w:lang w:val="en-AU" w:eastAsia="en-GB"/>
        </w:rPr>
        <w:t xml:space="preserve"> be ‘reasonably available’ to advise and supervise staff. What is considered reasonable may vary for different businesses, depending on their number of staff, volumes of food, and food handling activities.</w:t>
      </w:r>
      <w:r w:rsidRPr="68C0CA2D">
        <w:rPr>
          <w:rFonts w:cs="Arial"/>
          <w:lang w:val="en-US" w:eastAsia="en-GB"/>
        </w:rPr>
        <w:t> </w:t>
      </w:r>
    </w:p>
    <w:p w14:paraId="16355293" w14:textId="339F9073" w:rsidR="00CB7716" w:rsidRDefault="00CB7716" w:rsidP="0025246D">
      <w:pPr>
        <w:pStyle w:val="Heading4"/>
        <w:numPr>
          <w:ilvl w:val="0"/>
          <w:numId w:val="0"/>
        </w:numPr>
        <w:ind w:left="864" w:hanging="864"/>
      </w:pPr>
      <w:bookmarkStart w:id="303" w:name="_Toc70953242"/>
      <w:bookmarkStart w:id="304" w:name="_Toc107412691"/>
      <w:r>
        <w:t>4.4.2</w:t>
      </w:r>
      <w:r>
        <w:tab/>
        <w:t>Food handler training</w:t>
      </w:r>
      <w:bookmarkEnd w:id="303"/>
      <w:bookmarkEnd w:id="304"/>
      <w:r>
        <w:t xml:space="preserve"> </w:t>
      </w:r>
    </w:p>
    <w:p w14:paraId="16ADA0C1" w14:textId="77777777" w:rsidR="00CB7716" w:rsidRDefault="00CB7716" w:rsidP="003B2774">
      <w:pPr>
        <w:spacing w:after="240"/>
      </w:pPr>
      <w:r w:rsidRPr="002673C7">
        <w:t xml:space="preserve">FSANZ </w:t>
      </w:r>
      <w:r>
        <w:t xml:space="preserve">has </w:t>
      </w:r>
      <w:r w:rsidRPr="002673C7">
        <w:t xml:space="preserve">considered a regulatory </w:t>
      </w:r>
      <w:r>
        <w:t xml:space="preserve">tool where </w:t>
      </w:r>
      <w:r w:rsidRPr="003F0323">
        <w:t>food handlers</w:t>
      </w:r>
      <w:r>
        <w:t xml:space="preserve"> in</w:t>
      </w:r>
      <w:r w:rsidRPr="003F0323">
        <w:t xml:space="preserve"> </w:t>
      </w:r>
      <w:r>
        <w:t xml:space="preserve">some, or all, </w:t>
      </w:r>
      <w:r w:rsidRPr="003F0323">
        <w:t xml:space="preserve">in-scope businesses would </w:t>
      </w:r>
      <w:r>
        <w:t xml:space="preserve">be </w:t>
      </w:r>
      <w:r w:rsidRPr="003F0323">
        <w:t>require</w:t>
      </w:r>
      <w:r>
        <w:t>d</w:t>
      </w:r>
      <w:r w:rsidRPr="003F0323">
        <w:t xml:space="preserve"> to </w:t>
      </w:r>
      <w:r>
        <w:t>complete food safety training before handling PHF. While not competency based, the proposed FHT specifies all of the following to be included:</w:t>
      </w:r>
    </w:p>
    <w:p w14:paraId="1DFCCD4E" w14:textId="77777777" w:rsidR="00CB7716" w:rsidRPr="00E56393" w:rsidRDefault="00CB7716" w:rsidP="00614AF5">
      <w:pPr>
        <w:pStyle w:val="ListParagraph"/>
        <w:numPr>
          <w:ilvl w:val="0"/>
          <w:numId w:val="81"/>
        </w:numPr>
        <w:spacing w:after="240"/>
      </w:pPr>
      <w:r w:rsidRPr="00E56393">
        <w:t>safe handling of food</w:t>
      </w:r>
    </w:p>
    <w:p w14:paraId="065CDDDD" w14:textId="77777777" w:rsidR="00CB7716" w:rsidRPr="00E56393" w:rsidRDefault="00CB7716" w:rsidP="00614AF5">
      <w:pPr>
        <w:pStyle w:val="ListParagraph"/>
        <w:numPr>
          <w:ilvl w:val="0"/>
          <w:numId w:val="81"/>
        </w:numPr>
        <w:spacing w:after="240"/>
      </w:pPr>
      <w:r w:rsidRPr="00E56393">
        <w:t>food contamination</w:t>
      </w:r>
    </w:p>
    <w:p w14:paraId="33B8276D" w14:textId="77777777" w:rsidR="00CB7716" w:rsidRPr="00E56393" w:rsidRDefault="00CB7716" w:rsidP="00614AF5">
      <w:pPr>
        <w:pStyle w:val="ListParagraph"/>
        <w:numPr>
          <w:ilvl w:val="0"/>
          <w:numId w:val="81"/>
        </w:numPr>
        <w:spacing w:after="240"/>
      </w:pPr>
      <w:r w:rsidRPr="00E56393">
        <w:t>cleaning and sanitising of food premises and equipment</w:t>
      </w:r>
    </w:p>
    <w:p w14:paraId="3ACD46A8" w14:textId="77777777" w:rsidR="00CB7716" w:rsidRPr="00E56393" w:rsidRDefault="00CB7716" w:rsidP="00614AF5">
      <w:pPr>
        <w:pStyle w:val="ListParagraph"/>
        <w:numPr>
          <w:ilvl w:val="0"/>
          <w:numId w:val="81"/>
        </w:numPr>
        <w:spacing w:after="240"/>
      </w:pPr>
      <w:r w:rsidRPr="00E56393">
        <w:t>personal hygiene.</w:t>
      </w:r>
    </w:p>
    <w:p w14:paraId="701C6E80" w14:textId="77777777" w:rsidR="00CB7716" w:rsidRDefault="00CB7716" w:rsidP="003B2774">
      <w:pPr>
        <w:spacing w:after="240"/>
      </w:pPr>
      <w:r>
        <w:t xml:space="preserve">The Code currently requires food businesses to ensure persons undertaking or supervising food handling have skills and knowledge in food safety and food hygiene matters, </w:t>
      </w:r>
      <w:r>
        <w:lastRenderedPageBreak/>
        <w:t xml:space="preserve">commensurate with their work activities (Standard 3.2.2 clause 3). There are no specific training requirements. </w:t>
      </w:r>
    </w:p>
    <w:p w14:paraId="0DC80BAE" w14:textId="77777777" w:rsidR="00CB7716" w:rsidRPr="003B2774" w:rsidRDefault="00CB7716" w:rsidP="003B2774">
      <w:pPr>
        <w:rPr>
          <w:b/>
          <w:i/>
        </w:rPr>
      </w:pPr>
      <w:r w:rsidRPr="003B2774">
        <w:rPr>
          <w:b/>
          <w:i/>
        </w:rPr>
        <w:t>Evaluation: FHT</w:t>
      </w:r>
    </w:p>
    <w:p w14:paraId="7182FA97" w14:textId="36045014" w:rsidR="00CB7716" w:rsidRPr="00E9095D" w:rsidRDefault="00CB7716" w:rsidP="003B2774">
      <w:pPr>
        <w:spacing w:after="240"/>
        <w:rPr>
          <w:color w:val="548DD4" w:themeColor="text2" w:themeTint="99"/>
        </w:rPr>
      </w:pPr>
      <w:r w:rsidRPr="008104A2">
        <w:t>FSANZ assess</w:t>
      </w:r>
      <w:r>
        <w:t>ed</w:t>
      </w:r>
      <w:r w:rsidRPr="008104A2">
        <w:t xml:space="preserve"> </w:t>
      </w:r>
      <w:r>
        <w:t xml:space="preserve">international </w:t>
      </w:r>
      <w:r w:rsidRPr="008104A2">
        <w:t xml:space="preserve">literature </w:t>
      </w:r>
      <w:r>
        <w:t>on</w:t>
      </w:r>
      <w:r w:rsidRPr="008104A2">
        <w:t xml:space="preserve"> the impact of food </w:t>
      </w:r>
      <w:r>
        <w:t>safety training on food handler behaviour</w:t>
      </w:r>
      <w:r w:rsidRPr="0031430E">
        <w:t xml:space="preserve"> </w:t>
      </w:r>
      <w:r>
        <w:t xml:space="preserve">in </w:t>
      </w:r>
      <w:r w:rsidRPr="00E43CEC">
        <w:t>food service businesses</w:t>
      </w:r>
      <w:r w:rsidRPr="008104A2">
        <w:t>.</w:t>
      </w:r>
      <w:r>
        <w:t xml:space="preserve"> R</w:t>
      </w:r>
      <w:r w:rsidRPr="00E43CEC">
        <w:t xml:space="preserve">esearch </w:t>
      </w:r>
      <w:r>
        <w:t>from</w:t>
      </w:r>
      <w:r w:rsidR="00B67B69">
        <w:t xml:space="preserve"> Australia was not available. S</w:t>
      </w:r>
      <w:r>
        <w:t>pecifically, we examined:</w:t>
      </w:r>
    </w:p>
    <w:p w14:paraId="48D45948" w14:textId="77777777" w:rsidR="00CB7716" w:rsidRPr="00E43CEC" w:rsidRDefault="00CB7716" w:rsidP="00614AF5">
      <w:pPr>
        <w:pStyle w:val="ListParagraph"/>
        <w:numPr>
          <w:ilvl w:val="0"/>
          <w:numId w:val="82"/>
        </w:numPr>
        <w:spacing w:after="240"/>
      </w:pPr>
      <w:r>
        <w:t>whether FHT results in improved</w:t>
      </w:r>
      <w:r w:rsidRPr="00E43CEC">
        <w:t xml:space="preserve"> knowledge and b</w:t>
      </w:r>
      <w:r>
        <w:t xml:space="preserve">ehaviour </w:t>
      </w:r>
    </w:p>
    <w:p w14:paraId="157204B0" w14:textId="77777777" w:rsidR="00CB7716" w:rsidRDefault="00CB7716" w:rsidP="00614AF5">
      <w:pPr>
        <w:pStyle w:val="ListParagraph"/>
        <w:numPr>
          <w:ilvl w:val="0"/>
          <w:numId w:val="82"/>
        </w:numPr>
        <w:spacing w:after="240"/>
      </w:pPr>
      <w:r>
        <w:t>what</w:t>
      </w:r>
      <w:r w:rsidRPr="00E43CEC">
        <w:t xml:space="preserve"> </w:t>
      </w:r>
      <w:r>
        <w:t>factors increase or</w:t>
      </w:r>
      <w:r w:rsidRPr="00E43CEC">
        <w:t xml:space="preserve"> limit the effectiveness </w:t>
      </w:r>
      <w:r>
        <w:t xml:space="preserve">(i.e. outcomes) </w:t>
      </w:r>
      <w:r w:rsidRPr="00E43CEC">
        <w:t>of training</w:t>
      </w:r>
      <w:r>
        <w:t>.</w:t>
      </w:r>
    </w:p>
    <w:p w14:paraId="522A8C22" w14:textId="2BCF335D" w:rsidR="00CB7716" w:rsidRDefault="003B2774" w:rsidP="00614AF5">
      <w:pPr>
        <w:pStyle w:val="ListParagraph"/>
        <w:numPr>
          <w:ilvl w:val="0"/>
          <w:numId w:val="82"/>
        </w:numPr>
        <w:spacing w:after="240"/>
      </w:pPr>
      <w:r>
        <w:t>k</w:t>
      </w:r>
      <w:r w:rsidR="00CB7716" w:rsidRPr="008104A2">
        <w:t xml:space="preserve">nowledge and behaviour </w:t>
      </w:r>
      <w:r w:rsidR="00CB7716">
        <w:t>improvements</w:t>
      </w:r>
    </w:p>
    <w:p w14:paraId="454ED708" w14:textId="0BA1345A" w:rsidR="00CB7716" w:rsidRDefault="00CB7716" w:rsidP="003B2774">
      <w:pPr>
        <w:spacing w:after="240"/>
      </w:pPr>
      <w:r>
        <w:t>The</w:t>
      </w:r>
      <w:r w:rsidRPr="00511984">
        <w:t xml:space="preserve"> efficacy of food safety training </w:t>
      </w:r>
      <w:r>
        <w:t xml:space="preserve">on improving knowledge and behaviour are covered in two </w:t>
      </w:r>
      <w:r w:rsidRPr="00EB7634">
        <w:t>reviews (Medeiros et al., 2011; McFarland et al., 2019). Most</w:t>
      </w:r>
      <w:r>
        <w:t>, but not all, of the reviewed studies reported improved knowledge and behaviour after training.</w:t>
      </w:r>
    </w:p>
    <w:p w14:paraId="7C9C3035" w14:textId="77777777" w:rsidR="00CB7716" w:rsidRDefault="00CB7716" w:rsidP="003B2774">
      <w:pPr>
        <w:spacing w:after="240"/>
      </w:pPr>
      <w:r>
        <w:t xml:space="preserve">In one review, five out of six </w:t>
      </w:r>
      <w:r w:rsidRPr="00E43CEC">
        <w:t>studies</w:t>
      </w:r>
      <w:r w:rsidRPr="00E43CEC">
        <w:rPr>
          <w:rStyle w:val="FootnoteReference"/>
        </w:rPr>
        <w:footnoteReference w:id="34"/>
      </w:r>
      <w:r w:rsidRPr="00E43CEC">
        <w:t xml:space="preserve"> </w:t>
      </w:r>
      <w:r>
        <w:t xml:space="preserve">examining food handlers’ training </w:t>
      </w:r>
      <w:r w:rsidRPr="00E43CEC">
        <w:t>in commercial environments</w:t>
      </w:r>
      <w:r w:rsidRPr="00E43CEC" w:rsidDel="005A081B">
        <w:t xml:space="preserve"> </w:t>
      </w:r>
      <w:r>
        <w:t>2008–2018 reported that t</w:t>
      </w:r>
      <w:r w:rsidRPr="007354AF">
        <w:t>raining increase</w:t>
      </w:r>
      <w:r>
        <w:t>d</w:t>
      </w:r>
      <w:r w:rsidRPr="007354AF">
        <w:t xml:space="preserve"> </w:t>
      </w:r>
      <w:r>
        <w:t xml:space="preserve">their </w:t>
      </w:r>
      <w:r w:rsidRPr="007354AF">
        <w:t>food safety</w:t>
      </w:r>
      <w:r>
        <w:t xml:space="preserve"> knowledge </w:t>
      </w:r>
      <w:r w:rsidRPr="003065CA">
        <w:t>(McFarland et al 2019). Similarly, a review of 14 studies</w:t>
      </w:r>
      <w:r w:rsidRPr="003065CA">
        <w:rPr>
          <w:rStyle w:val="FootnoteReference"/>
        </w:rPr>
        <w:footnoteReference w:id="35"/>
      </w:r>
      <w:r w:rsidRPr="003065CA">
        <w:t xml:space="preserve"> on training </w:t>
      </w:r>
      <w:r>
        <w:t>in food service businesses 2004–</w:t>
      </w:r>
      <w:r w:rsidRPr="003065CA">
        <w:t>2008 found training resulted in improved knowledge and behaviour in most cases (Medeiros et al., 2011).</w:t>
      </w:r>
      <w:r>
        <w:t xml:space="preserve"> </w:t>
      </w:r>
      <w:r w:rsidRPr="00E156A3">
        <w:t xml:space="preserve">The most common training topics </w:t>
      </w:r>
      <w:r>
        <w:t xml:space="preserve">of this review </w:t>
      </w:r>
      <w:r w:rsidRPr="00E156A3">
        <w:t xml:space="preserve">were employee personal hygiene and handwashing. </w:t>
      </w:r>
      <w:r>
        <w:t>Improved hygiene behaviours, such as hand washing, were directly observed. S</w:t>
      </w:r>
      <w:r w:rsidRPr="00E156A3">
        <w:t>ome studies</w:t>
      </w:r>
      <w:r>
        <w:t xml:space="preserve"> that</w:t>
      </w:r>
      <w:r w:rsidRPr="00E156A3">
        <w:t xml:space="preserve"> </w:t>
      </w:r>
      <w:r>
        <w:t>included</w:t>
      </w:r>
      <w:r w:rsidRPr="00E156A3">
        <w:t xml:space="preserve"> microbiological analyses</w:t>
      </w:r>
      <w:r>
        <w:t xml:space="preserve"> also </w:t>
      </w:r>
      <w:r w:rsidRPr="00E156A3">
        <w:t xml:space="preserve">observed a reduction </w:t>
      </w:r>
      <w:r>
        <w:t>in</w:t>
      </w:r>
      <w:r w:rsidRPr="00E156A3">
        <w:t xml:space="preserve"> microorganisms during food preparation and handling </w:t>
      </w:r>
      <w:r>
        <w:t>post-</w:t>
      </w:r>
      <w:r w:rsidRPr="00E156A3">
        <w:t>training</w:t>
      </w:r>
      <w:r>
        <w:t>.</w:t>
      </w:r>
      <w:r w:rsidRPr="00E156A3" w:rsidDel="00953F5E">
        <w:t xml:space="preserve"> </w:t>
      </w:r>
    </w:p>
    <w:p w14:paraId="0EF26D73" w14:textId="6168DA1A" w:rsidR="00CB7716" w:rsidRDefault="00CB7716" w:rsidP="003B2774">
      <w:pPr>
        <w:spacing w:after="240"/>
      </w:pPr>
      <w:r>
        <w:t xml:space="preserve">Both these reviews included cases where training or </w:t>
      </w:r>
      <w:r w:rsidRPr="00E156A3">
        <w:t>knowledge acquired did not translate to food</w:t>
      </w:r>
      <w:r>
        <w:t>-</w:t>
      </w:r>
      <w:r w:rsidRPr="00E156A3">
        <w:t xml:space="preserve">safe behaviours in the workplace. One study found no difference in </w:t>
      </w:r>
      <w:r>
        <w:t xml:space="preserve">food handler </w:t>
      </w:r>
      <w:r w:rsidRPr="00E156A3">
        <w:t xml:space="preserve">knowledge </w:t>
      </w:r>
      <w:r>
        <w:t>or</w:t>
      </w:r>
      <w:r w:rsidRPr="00E156A3">
        <w:t xml:space="preserve"> behaviour after training</w:t>
      </w:r>
      <w:r>
        <w:t>.</w:t>
      </w:r>
    </w:p>
    <w:p w14:paraId="055D8290" w14:textId="27E21DAE" w:rsidR="00CB7716" w:rsidRDefault="00CB7716" w:rsidP="003B2774">
      <w:pPr>
        <w:spacing w:after="240"/>
      </w:pPr>
      <w:r>
        <w:t xml:space="preserve">These findings indicate a gap between increasing food handler knowledge and improving their practices. The McFarland et al review (2019) considered some training methods (e.g. knowledge-based training alone) may not align with practical realities in the workplace, such as peak business periods. They also noted training (often knowledge-based) is commonly delivered only once without follow-up. </w:t>
      </w:r>
    </w:p>
    <w:p w14:paraId="6F66811C" w14:textId="77777777" w:rsidR="00CB7716" w:rsidRDefault="00CB7716" w:rsidP="003B2774">
      <w:pPr>
        <w:spacing w:after="240"/>
      </w:pPr>
      <w:r>
        <w:t>The reviews cited the following elements contributed to effective</w:t>
      </w:r>
      <w:r w:rsidRPr="00E156A3">
        <w:t xml:space="preserve"> </w:t>
      </w:r>
      <w:r>
        <w:t>training</w:t>
      </w:r>
      <w:r w:rsidRPr="00E156A3">
        <w:t xml:space="preserve">: </w:t>
      </w:r>
    </w:p>
    <w:p w14:paraId="4A741538" w14:textId="77777777" w:rsidR="00CB7716" w:rsidRDefault="00CB7716" w:rsidP="00614AF5">
      <w:pPr>
        <w:pStyle w:val="ListParagraph"/>
        <w:numPr>
          <w:ilvl w:val="0"/>
          <w:numId w:val="83"/>
        </w:numPr>
        <w:spacing w:after="240"/>
      </w:pPr>
      <w:r w:rsidRPr="00E156A3">
        <w:t>incorporat</w:t>
      </w:r>
      <w:r>
        <w:t>ing</w:t>
      </w:r>
      <w:r w:rsidRPr="00E156A3">
        <w:t xml:space="preserve"> </w:t>
      </w:r>
      <w:r w:rsidRPr="00986BB9">
        <w:t xml:space="preserve">a mix of knowledge-based </w:t>
      </w:r>
      <w:r>
        <w:t xml:space="preserve">and practical </w:t>
      </w:r>
      <w:r w:rsidRPr="00986BB9">
        <w:t>components</w:t>
      </w:r>
      <w:r w:rsidRPr="00E156A3" w:rsidDel="00953F5E">
        <w:t xml:space="preserve"> </w:t>
      </w:r>
    </w:p>
    <w:p w14:paraId="625EDD88" w14:textId="77777777" w:rsidR="00CB7716" w:rsidRDefault="00CB7716" w:rsidP="00614AF5">
      <w:pPr>
        <w:pStyle w:val="ListParagraph"/>
        <w:numPr>
          <w:ilvl w:val="0"/>
          <w:numId w:val="83"/>
        </w:numPr>
        <w:spacing w:after="240"/>
      </w:pPr>
      <w:r>
        <w:t xml:space="preserve">use of </w:t>
      </w:r>
      <w:r w:rsidRPr="00E156A3">
        <w:t>multimedia</w:t>
      </w:r>
      <w:r>
        <w:t xml:space="preserve">, </w:t>
      </w:r>
      <w:r w:rsidRPr="00E156A3">
        <w:t>video</w:t>
      </w:r>
      <w:r>
        <w:t>s</w:t>
      </w:r>
      <w:r w:rsidRPr="00E156A3">
        <w:t xml:space="preserve"> and illustrations</w:t>
      </w:r>
      <w:r>
        <w:t xml:space="preserve"> in addition to reading and writing</w:t>
      </w:r>
      <w:r w:rsidRPr="00E156A3">
        <w:t xml:space="preserve"> </w:t>
      </w:r>
    </w:p>
    <w:p w14:paraId="6C65A297" w14:textId="77777777" w:rsidR="00CB7716" w:rsidRDefault="00CB7716" w:rsidP="00614AF5">
      <w:pPr>
        <w:pStyle w:val="ListParagraph"/>
        <w:numPr>
          <w:ilvl w:val="0"/>
          <w:numId w:val="83"/>
        </w:numPr>
        <w:spacing w:after="240"/>
      </w:pPr>
      <w:r>
        <w:t>ou</w:t>
      </w:r>
      <w:r w:rsidRPr="00C03D60">
        <w:t>tlining the commercial/business benefits</w:t>
      </w:r>
      <w:r w:rsidRPr="009366CD">
        <w:t xml:space="preserve"> </w:t>
      </w:r>
      <w:r>
        <w:t xml:space="preserve">of </w:t>
      </w:r>
      <w:r w:rsidRPr="009366CD">
        <w:t>safe food handling</w:t>
      </w:r>
      <w:r w:rsidRPr="00E156A3">
        <w:t xml:space="preserve">. </w:t>
      </w:r>
    </w:p>
    <w:p w14:paraId="121B622F" w14:textId="77777777" w:rsidR="00CB7716" w:rsidRDefault="00CB7716" w:rsidP="003B2774">
      <w:pPr>
        <w:spacing w:after="240"/>
      </w:pPr>
      <w:r>
        <w:t xml:space="preserve">Ongoing training, supervision or explicit workplace cues (e.g. signage) could also help the transfer of knowledge into improved behaviours (McFarland et al., 2019). </w:t>
      </w:r>
    </w:p>
    <w:p w14:paraId="3F926B22" w14:textId="77777777" w:rsidR="00CB7716" w:rsidRPr="00B67B69" w:rsidRDefault="00CB7716" w:rsidP="00B67B69">
      <w:pPr>
        <w:rPr>
          <w:b/>
          <w:i/>
        </w:rPr>
      </w:pPr>
      <w:r w:rsidRPr="00B67B69">
        <w:rPr>
          <w:b/>
          <w:i/>
        </w:rPr>
        <w:t>Factors influencing food handler behaviour</w:t>
      </w:r>
    </w:p>
    <w:p w14:paraId="6F24CAD2" w14:textId="2659B372" w:rsidR="00CB7716" w:rsidRDefault="00CB7716" w:rsidP="003B2774">
      <w:pPr>
        <w:spacing w:after="240"/>
      </w:pPr>
      <w:r w:rsidRPr="00F14F03">
        <w:t xml:space="preserve">Factors contributing to safe food handling in food service businesses are summarised in a review of 26 </w:t>
      </w:r>
      <w:r w:rsidRPr="00EB7634">
        <w:t>studies (</w:t>
      </w:r>
      <w:proofErr w:type="spellStart"/>
      <w:r w:rsidRPr="00EB7634">
        <w:t>Thaivalappil</w:t>
      </w:r>
      <w:proofErr w:type="spellEnd"/>
      <w:r w:rsidRPr="00EB7634">
        <w:t xml:space="preserve"> et al., 2018). The</w:t>
      </w:r>
      <w:r w:rsidRPr="00F14F03">
        <w:t xml:space="preserve"> re</w:t>
      </w:r>
      <w:r>
        <w:t>search</w:t>
      </w:r>
      <w:r w:rsidRPr="00F14F03">
        <w:t xml:space="preserve"> </w:t>
      </w:r>
      <w:r>
        <w:t xml:space="preserve">mainly </w:t>
      </w:r>
      <w:r w:rsidRPr="00F14F03">
        <w:t xml:space="preserve">focuses on </w:t>
      </w:r>
      <w:r>
        <w:t>food handler interviews</w:t>
      </w:r>
      <w:r w:rsidRPr="00F14F03">
        <w:t xml:space="preserve"> in the United States and United Kingdom</w:t>
      </w:r>
      <w:r w:rsidRPr="009366CD">
        <w:t xml:space="preserve">. </w:t>
      </w:r>
    </w:p>
    <w:p w14:paraId="7185C176" w14:textId="0D0F6483" w:rsidR="00CB7716" w:rsidRDefault="00CB7716" w:rsidP="003B2774">
      <w:pPr>
        <w:spacing w:after="240"/>
      </w:pPr>
      <w:r>
        <w:t>Generally, t</w:t>
      </w:r>
      <w:r w:rsidRPr="003352C1">
        <w:t>he review found food handlers had good skills and knowledge in safe food handling</w:t>
      </w:r>
      <w:r>
        <w:t xml:space="preserve">. </w:t>
      </w:r>
      <w:r w:rsidRPr="003352C1">
        <w:t>Most subjects perceived their training to be beneficial (</w:t>
      </w:r>
      <w:r>
        <w:t xml:space="preserve">the review authors also reported this </w:t>
      </w:r>
      <w:r w:rsidRPr="003352C1">
        <w:t>replicat</w:t>
      </w:r>
      <w:r>
        <w:t>ed</w:t>
      </w:r>
      <w:r w:rsidRPr="003352C1">
        <w:t xml:space="preserve"> previous findings).</w:t>
      </w:r>
      <w:r w:rsidRPr="009366CD">
        <w:t xml:space="preserve"> </w:t>
      </w:r>
      <w:r>
        <w:t xml:space="preserve">While most food handlers are confident in their </w:t>
      </w:r>
      <w:r>
        <w:lastRenderedPageBreak/>
        <w:t xml:space="preserve">abilities, in some cases </w:t>
      </w:r>
      <w:r w:rsidRPr="004122C4">
        <w:t>they appear to overestimate their abilities; for</w:t>
      </w:r>
      <w:r>
        <w:t xml:space="preserve"> example,</w:t>
      </w:r>
      <w:r w:rsidRPr="00C65263">
        <w:t xml:space="preserve"> </w:t>
      </w:r>
      <w:r>
        <w:t xml:space="preserve">just </w:t>
      </w:r>
      <w:r w:rsidRPr="00C65263">
        <w:t xml:space="preserve">using </w:t>
      </w:r>
      <w:r>
        <w:t>smell, touch or sight</w:t>
      </w:r>
      <w:r w:rsidRPr="00C65263">
        <w:t xml:space="preserve"> to </w:t>
      </w:r>
      <w:r>
        <w:t>gauge</w:t>
      </w:r>
      <w:r w:rsidRPr="00C65263">
        <w:t xml:space="preserve"> whether a food is </w:t>
      </w:r>
      <w:r w:rsidRPr="009366CD">
        <w:t xml:space="preserve">spoiled or correctly </w:t>
      </w:r>
      <w:r>
        <w:t>cooked</w:t>
      </w:r>
      <w:r w:rsidRPr="003352C1">
        <w:t>.</w:t>
      </w:r>
    </w:p>
    <w:p w14:paraId="335BD0B7" w14:textId="44608431" w:rsidR="00CB7716" w:rsidRDefault="00CB7716" w:rsidP="003B2774">
      <w:pPr>
        <w:spacing w:after="240"/>
      </w:pPr>
      <w:r>
        <w:t>Food handlers</w:t>
      </w:r>
      <w:r w:rsidRPr="00C65263">
        <w:t xml:space="preserve"> reported having </w:t>
      </w:r>
      <w:r w:rsidRPr="004122C4">
        <w:t>issues</w:t>
      </w:r>
      <w:r>
        <w:t xml:space="preserve"> with being motivated to practise safe food handling. They </w:t>
      </w:r>
      <w:r w:rsidRPr="00891044">
        <w:t>report</w:t>
      </w:r>
      <w:r w:rsidRPr="002E3C4A">
        <w:t xml:space="preserve">ed </w:t>
      </w:r>
      <w:r w:rsidRPr="00891044">
        <w:t>wanting support and workplace cues to remind</w:t>
      </w:r>
      <w:r w:rsidRPr="002E3C4A">
        <w:t xml:space="preserve"> them of </w:t>
      </w:r>
      <w:r>
        <w:t>good</w:t>
      </w:r>
      <w:r w:rsidRPr="002E3C4A">
        <w:t xml:space="preserve"> practices</w:t>
      </w:r>
      <w:r>
        <w:t>.</w:t>
      </w:r>
    </w:p>
    <w:p w14:paraId="6462D844" w14:textId="77777777" w:rsidR="00CB7716" w:rsidRPr="007E4044" w:rsidRDefault="00CB7716" w:rsidP="003B2774">
      <w:pPr>
        <w:spacing w:after="240"/>
      </w:pPr>
      <w:r>
        <w:t xml:space="preserve">Situational and social factors reported as influencing safe food handling </w:t>
      </w:r>
      <w:r w:rsidRPr="007E4044">
        <w:t>practices</w:t>
      </w:r>
      <w:r>
        <w:t xml:space="preserve"> include</w:t>
      </w:r>
      <w:r w:rsidRPr="007E4044">
        <w:t>:</w:t>
      </w:r>
    </w:p>
    <w:p w14:paraId="3F0F9619" w14:textId="77777777" w:rsidR="00CB7716" w:rsidRPr="00891044" w:rsidRDefault="00CB7716" w:rsidP="00614AF5">
      <w:pPr>
        <w:pStyle w:val="ListParagraph"/>
        <w:numPr>
          <w:ilvl w:val="0"/>
          <w:numId w:val="84"/>
        </w:numPr>
        <w:spacing w:after="240"/>
      </w:pPr>
      <w:r w:rsidRPr="00891044">
        <w:t xml:space="preserve">workplace policies </w:t>
      </w:r>
    </w:p>
    <w:p w14:paraId="53FE1E6A" w14:textId="77777777" w:rsidR="00CB7716" w:rsidRPr="007E4044" w:rsidRDefault="00CB7716" w:rsidP="00614AF5">
      <w:pPr>
        <w:pStyle w:val="ListParagraph"/>
        <w:numPr>
          <w:ilvl w:val="0"/>
          <w:numId w:val="84"/>
        </w:numPr>
        <w:spacing w:after="240"/>
      </w:pPr>
      <w:r w:rsidRPr="007E4044">
        <w:t xml:space="preserve">space, time and accessibility to </w:t>
      </w:r>
      <w:r>
        <w:t xml:space="preserve">washing </w:t>
      </w:r>
      <w:r w:rsidRPr="007E4044">
        <w:t xml:space="preserve">stations </w:t>
      </w:r>
      <w:r>
        <w:t>(e.g. poor accessibility was a barrier to handwashing)</w:t>
      </w:r>
    </w:p>
    <w:p w14:paraId="56E1A079" w14:textId="77777777" w:rsidR="00CB7716" w:rsidRPr="007E4044" w:rsidRDefault="00CB7716" w:rsidP="00614AF5">
      <w:pPr>
        <w:pStyle w:val="ListParagraph"/>
        <w:numPr>
          <w:ilvl w:val="0"/>
          <w:numId w:val="84"/>
        </w:numPr>
        <w:spacing w:after="240"/>
      </w:pPr>
      <w:r w:rsidRPr="007E4044">
        <w:t>workplace hierarchies</w:t>
      </w:r>
    </w:p>
    <w:p w14:paraId="28D6253D" w14:textId="77777777" w:rsidR="00CB7716" w:rsidRPr="007E4044" w:rsidRDefault="00CB7716" w:rsidP="00614AF5">
      <w:pPr>
        <w:pStyle w:val="ListParagraph"/>
        <w:numPr>
          <w:ilvl w:val="0"/>
          <w:numId w:val="84"/>
        </w:numPr>
        <w:spacing w:after="240"/>
      </w:pPr>
      <w:r w:rsidRPr="007E4044">
        <w:t xml:space="preserve">behaviours </w:t>
      </w:r>
      <w:r>
        <w:t xml:space="preserve">and tone </w:t>
      </w:r>
      <w:r w:rsidRPr="007E4044">
        <w:t>of managers and supervisors</w:t>
      </w:r>
      <w:r>
        <w:t>.</w:t>
      </w:r>
    </w:p>
    <w:p w14:paraId="3A5F627D" w14:textId="77777777" w:rsidR="00CB7716" w:rsidRPr="00BE773B" w:rsidRDefault="00CB7716" w:rsidP="003B2774">
      <w:pPr>
        <w:spacing w:after="240"/>
      </w:pPr>
      <w:r w:rsidRPr="007E4044">
        <w:t xml:space="preserve">Food handlers </w:t>
      </w:r>
      <w:r>
        <w:t>said</w:t>
      </w:r>
      <w:r w:rsidRPr="007E4044">
        <w:t xml:space="preserve"> these factors impacted their ability to safely handle food</w:t>
      </w:r>
      <w:r>
        <w:t>,</w:t>
      </w:r>
      <w:r w:rsidRPr="007E4044">
        <w:t xml:space="preserve"> regardless of how knowledgeable they were about safe practices.</w:t>
      </w:r>
      <w:r w:rsidRPr="00C65263">
        <w:t xml:space="preserve"> </w:t>
      </w:r>
    </w:p>
    <w:p w14:paraId="78521A44" w14:textId="37F67CAC" w:rsidR="00CB7716" w:rsidRDefault="00CB7716" w:rsidP="003B2774">
      <w:pPr>
        <w:spacing w:after="240"/>
      </w:pPr>
      <w:r w:rsidRPr="003352C1">
        <w:t xml:space="preserve">FSANZ considers that, from the literature available, it appears food safety training generally leads to improved knowledge and </w:t>
      </w:r>
      <w:r>
        <w:t>hygiene/hand washing</w:t>
      </w:r>
      <w:r w:rsidRPr="003352C1">
        <w:t xml:space="preserve"> </w:t>
      </w:r>
      <w:r>
        <w:t>b</w:t>
      </w:r>
      <w:r w:rsidRPr="003352C1">
        <w:t>ehaviours in food handlers. However</w:t>
      </w:r>
      <w:r>
        <w:t>,</w:t>
      </w:r>
      <w:r w:rsidRPr="003352C1">
        <w:t xml:space="preserve"> food safety knowledge does not always translate into good food safety practices</w:t>
      </w:r>
      <w:r>
        <w:t>. Follow-up training, education and reminders are likely to be beneficial</w:t>
      </w:r>
      <w:r w:rsidRPr="003352C1">
        <w:t>.</w:t>
      </w:r>
      <w:r>
        <w:t xml:space="preserve"> Given that food handlers can be influenced by workplace factors including the behaviour of managers and supervisors, a FSS could reinforce training and safe food practices. </w:t>
      </w:r>
    </w:p>
    <w:p w14:paraId="00C6A023" w14:textId="77777777" w:rsidR="00CB7716" w:rsidRPr="000368C8" w:rsidRDefault="00CB7716" w:rsidP="003B2774">
      <w:pPr>
        <w:spacing w:after="240"/>
      </w:pPr>
      <w:r w:rsidRPr="006A694E">
        <w:t xml:space="preserve">FSANZ recognises that food safety culture </w:t>
      </w:r>
      <w:r>
        <w:t xml:space="preserve">more broadly </w:t>
      </w:r>
      <w:r w:rsidRPr="006A694E">
        <w:t xml:space="preserve">is a key determinant of food safety behaviours. </w:t>
      </w:r>
      <w:r>
        <w:t>Food safety culture is how everyone in an organisation thinks and acts in their daily work in relation to food safety. Food businesses and regulators could both have a role in strengthening food safety culture, both in industry and across the regulatory system</w:t>
      </w:r>
      <w:r w:rsidRPr="000368C8">
        <w:t>.</w:t>
      </w:r>
    </w:p>
    <w:p w14:paraId="5EFA14E3" w14:textId="77777777" w:rsidR="00CB7716" w:rsidRPr="00B67B69" w:rsidRDefault="00CB7716" w:rsidP="00B67B69">
      <w:pPr>
        <w:rPr>
          <w:b/>
          <w:i/>
        </w:rPr>
      </w:pPr>
      <w:bookmarkStart w:id="305" w:name="_Toc70953244"/>
      <w:r w:rsidRPr="00B67B69">
        <w:rPr>
          <w:b/>
          <w:i/>
        </w:rPr>
        <w:t xml:space="preserve">Gap analysis: </w:t>
      </w:r>
      <w:bookmarkEnd w:id="305"/>
      <w:r w:rsidRPr="00B67B69">
        <w:rPr>
          <w:b/>
          <w:i/>
        </w:rPr>
        <w:t>FHT</w:t>
      </w:r>
    </w:p>
    <w:p w14:paraId="3B002ED2" w14:textId="77777777" w:rsidR="00CB7716" w:rsidRDefault="00CB7716" w:rsidP="003B2774">
      <w:pPr>
        <w:spacing w:after="240"/>
        <w:rPr>
          <w:bCs/>
          <w:color w:val="000000" w:themeColor="text1"/>
          <w:lang w:eastAsia="en-AU"/>
        </w:rPr>
      </w:pPr>
      <w:r w:rsidRPr="009273E5">
        <w:rPr>
          <w:bCs/>
          <w:color w:val="000000" w:themeColor="text1"/>
          <w:lang w:eastAsia="en-AU"/>
        </w:rPr>
        <w:t xml:space="preserve">A gap analysis of the differing </w:t>
      </w:r>
      <w:r>
        <w:rPr>
          <w:bCs/>
          <w:color w:val="000000" w:themeColor="text1"/>
          <w:lang w:eastAsia="en-AU"/>
        </w:rPr>
        <w:t xml:space="preserve">training </w:t>
      </w:r>
      <w:r w:rsidRPr="009273E5">
        <w:rPr>
          <w:bCs/>
          <w:color w:val="000000" w:themeColor="text1"/>
          <w:lang w:eastAsia="en-AU"/>
        </w:rPr>
        <w:t xml:space="preserve">requirements in Australian states and territories is </w:t>
      </w:r>
      <w:r>
        <w:rPr>
          <w:bCs/>
          <w:color w:val="000000" w:themeColor="text1"/>
          <w:lang w:eastAsia="en-AU"/>
        </w:rPr>
        <w:t>outlined</w:t>
      </w:r>
      <w:r w:rsidRPr="009273E5">
        <w:rPr>
          <w:bCs/>
          <w:color w:val="000000" w:themeColor="text1"/>
          <w:lang w:eastAsia="en-AU"/>
        </w:rPr>
        <w:t xml:space="preserve"> in </w:t>
      </w:r>
      <w:r>
        <w:rPr>
          <w:bCs/>
          <w:color w:val="000000" w:themeColor="text1"/>
          <w:lang w:eastAsia="en-AU"/>
        </w:rPr>
        <w:t>T</w:t>
      </w:r>
      <w:r w:rsidRPr="009273E5">
        <w:rPr>
          <w:bCs/>
          <w:color w:val="000000" w:themeColor="text1"/>
          <w:lang w:eastAsia="en-AU"/>
        </w:rPr>
        <w:t xml:space="preserve">able </w:t>
      </w:r>
      <w:r>
        <w:rPr>
          <w:bCs/>
          <w:color w:val="000000" w:themeColor="text1"/>
          <w:lang w:eastAsia="en-AU"/>
        </w:rPr>
        <w:t xml:space="preserve">4 </w:t>
      </w:r>
      <w:r w:rsidRPr="009273E5">
        <w:rPr>
          <w:bCs/>
          <w:color w:val="000000" w:themeColor="text1"/>
          <w:lang w:eastAsia="en-AU"/>
        </w:rPr>
        <w:t>below.</w:t>
      </w:r>
      <w:r>
        <w:rPr>
          <w:bCs/>
          <w:color w:val="000000" w:themeColor="text1"/>
          <w:lang w:eastAsia="en-AU"/>
        </w:rPr>
        <w:t xml:space="preserve"> To summarise, food handler training is not currently mandated and training topics are not specified. There is a small to medium gap between this status quo and the proposed measure requiring all in-scope food handlers to complete a training course covering specified topics. </w:t>
      </w:r>
    </w:p>
    <w:p w14:paraId="1110F1E1" w14:textId="77777777" w:rsidR="00CB7716" w:rsidRPr="00D919F1" w:rsidRDefault="00CB7716" w:rsidP="00CB7716">
      <w:pPr>
        <w:pStyle w:val="Caption"/>
        <w:keepNext/>
        <w:spacing w:before="240"/>
        <w:rPr>
          <w:b/>
          <w:color w:val="auto"/>
          <w:sz w:val="20"/>
          <w:szCs w:val="20"/>
        </w:rPr>
      </w:pPr>
      <w:r w:rsidRPr="00D919F1">
        <w:rPr>
          <w:b/>
          <w:color w:val="auto"/>
          <w:sz w:val="20"/>
          <w:szCs w:val="20"/>
        </w:rPr>
        <w:t>Table 4: Gap analysis of food handler training requirements across jurisdictions</w:t>
      </w:r>
    </w:p>
    <w:tbl>
      <w:tblPr>
        <w:tblW w:w="9886" w:type="dxa"/>
        <w:tblLook w:val="04A0" w:firstRow="1" w:lastRow="0" w:firstColumn="1" w:lastColumn="0" w:noHBand="0" w:noVBand="1"/>
      </w:tblPr>
      <w:tblGrid>
        <w:gridCol w:w="1440"/>
        <w:gridCol w:w="4261"/>
        <w:gridCol w:w="4185"/>
      </w:tblGrid>
      <w:tr w:rsidR="00CB7716" w:rsidRPr="0039626A" w14:paraId="14E31858" w14:textId="77777777" w:rsidTr="006E77ED">
        <w:trPr>
          <w:tblHeader/>
        </w:trPr>
        <w:tc>
          <w:tcPr>
            <w:tcW w:w="144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21BF212" w14:textId="77777777" w:rsidR="00CB7716" w:rsidRDefault="00CB7716" w:rsidP="00CB7716">
            <w:pPr>
              <w:spacing w:after="85"/>
              <w:rPr>
                <w:b/>
                <w:sz w:val="20"/>
                <w:lang w:val="en-AU"/>
              </w:rPr>
            </w:pPr>
            <w:r w:rsidRPr="0039626A">
              <w:rPr>
                <w:b/>
                <w:sz w:val="20"/>
                <w:lang w:val="en-AU"/>
              </w:rPr>
              <w:t>State/</w:t>
            </w:r>
          </w:p>
          <w:p w14:paraId="15227243" w14:textId="77777777" w:rsidR="00CB7716" w:rsidRPr="0039626A" w:rsidRDefault="00CB7716" w:rsidP="00CB7716">
            <w:pPr>
              <w:spacing w:after="85"/>
              <w:rPr>
                <w:b/>
                <w:sz w:val="20"/>
                <w:lang w:val="en-AU"/>
              </w:rPr>
            </w:pPr>
            <w:r w:rsidRPr="0039626A">
              <w:rPr>
                <w:b/>
                <w:sz w:val="20"/>
                <w:lang w:val="en-AU"/>
              </w:rPr>
              <w:t>territory</w:t>
            </w:r>
          </w:p>
        </w:tc>
        <w:tc>
          <w:tcPr>
            <w:tcW w:w="426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5862005" w14:textId="77777777" w:rsidR="00CB7716" w:rsidRPr="0039626A" w:rsidRDefault="00CB7716" w:rsidP="00CB7716">
            <w:pPr>
              <w:spacing w:after="85"/>
              <w:rPr>
                <w:b/>
                <w:sz w:val="20"/>
                <w:lang w:val="en-AU"/>
              </w:rPr>
            </w:pPr>
            <w:r w:rsidRPr="0039626A">
              <w:rPr>
                <w:b/>
                <w:sz w:val="20"/>
                <w:lang w:val="en-AU"/>
              </w:rPr>
              <w:t>Current</w:t>
            </w:r>
            <w:r>
              <w:rPr>
                <w:b/>
                <w:sz w:val="20"/>
                <w:lang w:val="en-AU"/>
              </w:rPr>
              <w:t xml:space="preserve"> requirements</w:t>
            </w:r>
          </w:p>
        </w:tc>
        <w:tc>
          <w:tcPr>
            <w:tcW w:w="418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5875C0C" w14:textId="77777777" w:rsidR="00CB7716" w:rsidRPr="0039626A" w:rsidRDefault="00CB7716" w:rsidP="00CB7716">
            <w:pPr>
              <w:spacing w:after="85"/>
              <w:rPr>
                <w:b/>
                <w:sz w:val="20"/>
                <w:lang w:val="en-AU"/>
              </w:rPr>
            </w:pPr>
            <w:r w:rsidRPr="0039626A">
              <w:rPr>
                <w:b/>
                <w:sz w:val="20"/>
                <w:lang w:val="en-AU"/>
              </w:rPr>
              <w:t>Gap</w:t>
            </w:r>
            <w:r>
              <w:rPr>
                <w:b/>
                <w:sz w:val="20"/>
                <w:lang w:val="en-AU"/>
              </w:rPr>
              <w:t xml:space="preserve"> </w:t>
            </w:r>
            <w:r w:rsidRPr="00271B7F">
              <w:rPr>
                <w:b/>
                <w:sz w:val="20"/>
                <w:lang w:val="en-AU"/>
              </w:rPr>
              <w:t>between current and proposed measure</w:t>
            </w:r>
          </w:p>
        </w:tc>
      </w:tr>
      <w:tr w:rsidR="00CB7716" w:rsidRPr="0039626A" w14:paraId="76B3B9CA" w14:textId="77777777" w:rsidTr="00CB7716">
        <w:tc>
          <w:tcPr>
            <w:tcW w:w="1440" w:type="dxa"/>
            <w:tcBorders>
              <w:top w:val="single" w:sz="4" w:space="0" w:color="auto"/>
              <w:left w:val="single" w:sz="4" w:space="0" w:color="auto"/>
              <w:bottom w:val="single" w:sz="4" w:space="0" w:color="auto"/>
              <w:right w:val="single" w:sz="4" w:space="0" w:color="auto"/>
            </w:tcBorders>
            <w:hideMark/>
          </w:tcPr>
          <w:p w14:paraId="6729B598" w14:textId="77777777" w:rsidR="00CB7716" w:rsidRPr="00B67B69" w:rsidRDefault="00CB7716" w:rsidP="00CB7716">
            <w:pPr>
              <w:spacing w:after="85"/>
              <w:rPr>
                <w:rFonts w:cs="Arial"/>
                <w:sz w:val="20"/>
                <w:szCs w:val="20"/>
                <w:lang w:val="en-AU"/>
              </w:rPr>
            </w:pPr>
            <w:r w:rsidRPr="00B67B69">
              <w:rPr>
                <w:rFonts w:cs="Arial"/>
                <w:sz w:val="20"/>
                <w:szCs w:val="20"/>
                <w:lang w:val="en-AU"/>
              </w:rPr>
              <w:t>National (FSC)</w:t>
            </w:r>
          </w:p>
        </w:tc>
        <w:tc>
          <w:tcPr>
            <w:tcW w:w="4261" w:type="dxa"/>
            <w:tcBorders>
              <w:top w:val="single" w:sz="4" w:space="0" w:color="auto"/>
              <w:left w:val="single" w:sz="4" w:space="0" w:color="auto"/>
              <w:bottom w:val="single" w:sz="4" w:space="0" w:color="auto"/>
              <w:right w:val="single" w:sz="4" w:space="0" w:color="auto"/>
            </w:tcBorders>
            <w:hideMark/>
          </w:tcPr>
          <w:p w14:paraId="462868F3" w14:textId="77777777" w:rsidR="00CB7716" w:rsidRPr="00B67B69" w:rsidRDefault="00CB7716" w:rsidP="00CB7716">
            <w:pPr>
              <w:spacing w:after="85"/>
              <w:rPr>
                <w:rFonts w:cs="Arial"/>
                <w:sz w:val="20"/>
                <w:szCs w:val="20"/>
                <w:lang w:val="en-AU"/>
              </w:rPr>
            </w:pPr>
            <w:r w:rsidRPr="00B67B69">
              <w:rPr>
                <w:rFonts w:cs="Arial"/>
                <w:sz w:val="20"/>
                <w:szCs w:val="20"/>
                <w:lang w:val="en-AU"/>
              </w:rPr>
              <w:t>No legislative training requirement; however Standard 3.2.2 requires a food business to ensure persons undertaking food handling operations have skills and knowledge in food safety and food hygiene matters, commensurate with their work activities.</w:t>
            </w:r>
          </w:p>
          <w:p w14:paraId="174F1F3A"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In practice, this varies and is difficult to enforce. </w:t>
            </w:r>
          </w:p>
          <w:p w14:paraId="516DAB97"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Applies to all food businesses, not just P1 and P2 catering. </w:t>
            </w:r>
          </w:p>
        </w:tc>
        <w:tc>
          <w:tcPr>
            <w:tcW w:w="4185" w:type="dxa"/>
            <w:tcBorders>
              <w:top w:val="single" w:sz="4" w:space="0" w:color="auto"/>
              <w:left w:val="single" w:sz="4" w:space="0" w:color="auto"/>
              <w:bottom w:val="single" w:sz="4" w:space="0" w:color="auto"/>
              <w:right w:val="single" w:sz="4" w:space="0" w:color="auto"/>
            </w:tcBorders>
          </w:tcPr>
          <w:p w14:paraId="775CB08B"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Small to medium gap dependent on extent of training required. </w:t>
            </w:r>
          </w:p>
          <w:p w14:paraId="39EDCBE4"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Proposed requirement is for food safety training course to be completed, covering specified topics: food handling, food contamination, cleaning and sanitising and personal hygiene. </w:t>
            </w:r>
          </w:p>
          <w:p w14:paraId="72B3CC5B" w14:textId="77777777" w:rsidR="00CB7716" w:rsidRPr="00B67B69" w:rsidRDefault="00CB7716" w:rsidP="00CB7716">
            <w:pPr>
              <w:spacing w:after="85"/>
              <w:rPr>
                <w:rFonts w:cs="Arial"/>
                <w:sz w:val="20"/>
                <w:szCs w:val="20"/>
                <w:lang w:val="en-AU"/>
              </w:rPr>
            </w:pPr>
          </w:p>
        </w:tc>
      </w:tr>
      <w:tr w:rsidR="00CB7716" w:rsidRPr="0039626A" w14:paraId="0F18B7B3" w14:textId="77777777" w:rsidTr="00CB7716">
        <w:tc>
          <w:tcPr>
            <w:tcW w:w="1440" w:type="dxa"/>
            <w:tcBorders>
              <w:top w:val="single" w:sz="4" w:space="0" w:color="auto"/>
              <w:left w:val="single" w:sz="4" w:space="0" w:color="auto"/>
              <w:bottom w:val="single" w:sz="4" w:space="0" w:color="auto"/>
              <w:right w:val="single" w:sz="4" w:space="0" w:color="auto"/>
            </w:tcBorders>
            <w:hideMark/>
          </w:tcPr>
          <w:p w14:paraId="67EB689A" w14:textId="77777777" w:rsidR="00CB7716" w:rsidRPr="00B67B69" w:rsidRDefault="00CB7716" w:rsidP="00CB7716">
            <w:pPr>
              <w:spacing w:after="85"/>
              <w:rPr>
                <w:rFonts w:cs="Arial"/>
                <w:sz w:val="20"/>
                <w:szCs w:val="20"/>
                <w:lang w:val="en-AU"/>
              </w:rPr>
            </w:pPr>
            <w:r w:rsidRPr="00B67B69">
              <w:rPr>
                <w:rFonts w:cs="Arial"/>
                <w:sz w:val="20"/>
                <w:szCs w:val="20"/>
                <w:lang w:val="en-AU"/>
              </w:rPr>
              <w:t>ACT, NT</w:t>
            </w:r>
          </w:p>
        </w:tc>
        <w:tc>
          <w:tcPr>
            <w:tcW w:w="4261" w:type="dxa"/>
            <w:tcBorders>
              <w:top w:val="single" w:sz="4" w:space="0" w:color="auto"/>
              <w:left w:val="single" w:sz="4" w:space="0" w:color="auto"/>
              <w:bottom w:val="single" w:sz="4" w:space="0" w:color="auto"/>
              <w:right w:val="single" w:sz="4" w:space="0" w:color="auto"/>
            </w:tcBorders>
            <w:hideMark/>
          </w:tcPr>
          <w:p w14:paraId="4D18BD47"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No legislative training requirement for all food handlers. </w:t>
            </w:r>
          </w:p>
          <w:p w14:paraId="492224C2" w14:textId="77777777" w:rsidR="00CB7716" w:rsidRPr="00B67B69" w:rsidRDefault="00CB7716" w:rsidP="00CB7716">
            <w:pPr>
              <w:spacing w:after="85"/>
              <w:rPr>
                <w:rFonts w:cs="Arial"/>
                <w:i/>
                <w:iCs/>
                <w:sz w:val="20"/>
                <w:szCs w:val="20"/>
                <w:lang w:val="en-AU"/>
              </w:rPr>
            </w:pPr>
            <w:r w:rsidRPr="00B67B69">
              <w:rPr>
                <w:rFonts w:cs="Arial"/>
                <w:sz w:val="20"/>
                <w:szCs w:val="20"/>
                <w:lang w:val="en-AU"/>
              </w:rPr>
              <w:t xml:space="preserve">Promotes voluntary training through </w:t>
            </w:r>
            <w:hyperlink r:id="rId49">
              <w:r w:rsidRPr="00B67B69">
                <w:rPr>
                  <w:rStyle w:val="Hyperlink"/>
                  <w:rFonts w:cs="Arial"/>
                  <w:i/>
                  <w:iCs/>
                  <w:sz w:val="20"/>
                  <w:szCs w:val="20"/>
                  <w:lang w:val="en-AU"/>
                </w:rPr>
                <w:t>I’M ALERT</w:t>
              </w:r>
            </w:hyperlink>
            <w:r w:rsidRPr="00B67B69">
              <w:rPr>
                <w:rFonts w:cs="Arial"/>
                <w:i/>
                <w:iCs/>
                <w:sz w:val="20"/>
                <w:szCs w:val="20"/>
                <w:lang w:val="en-AU"/>
              </w:rPr>
              <w:t xml:space="preserve"> ACT and </w:t>
            </w:r>
            <w:hyperlink r:id="rId50">
              <w:r w:rsidRPr="00B67B69">
                <w:rPr>
                  <w:rStyle w:val="Hyperlink"/>
                  <w:rFonts w:cs="Arial"/>
                  <w:i/>
                  <w:iCs/>
                  <w:sz w:val="20"/>
                  <w:szCs w:val="20"/>
                  <w:lang w:val="en-AU"/>
                </w:rPr>
                <w:t>I’M ALERT</w:t>
              </w:r>
            </w:hyperlink>
            <w:r w:rsidRPr="00B67B69">
              <w:rPr>
                <w:rFonts w:cs="Arial"/>
                <w:i/>
                <w:iCs/>
                <w:sz w:val="20"/>
                <w:szCs w:val="20"/>
                <w:lang w:val="en-AU"/>
              </w:rPr>
              <w:t xml:space="preserve"> NT </w:t>
            </w:r>
            <w:r w:rsidRPr="00B67B69">
              <w:rPr>
                <w:rFonts w:cs="Arial"/>
                <w:sz w:val="20"/>
                <w:szCs w:val="20"/>
                <w:lang w:val="en-AU"/>
              </w:rPr>
              <w:t>course</w:t>
            </w:r>
          </w:p>
        </w:tc>
        <w:tc>
          <w:tcPr>
            <w:tcW w:w="4185" w:type="dxa"/>
            <w:tcBorders>
              <w:top w:val="single" w:sz="4" w:space="0" w:color="auto"/>
              <w:left w:val="single" w:sz="4" w:space="0" w:color="auto"/>
              <w:bottom w:val="single" w:sz="4" w:space="0" w:color="auto"/>
              <w:right w:val="single" w:sz="4" w:space="0" w:color="auto"/>
            </w:tcBorders>
          </w:tcPr>
          <w:p w14:paraId="3DE909C2"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Small to medium gap. </w:t>
            </w:r>
          </w:p>
          <w:p w14:paraId="302824CE" w14:textId="77777777" w:rsidR="00CB7716" w:rsidRPr="00B67B69" w:rsidRDefault="00CB7716" w:rsidP="00CB7716">
            <w:pPr>
              <w:spacing w:after="85"/>
              <w:rPr>
                <w:rFonts w:cs="Arial"/>
                <w:sz w:val="20"/>
                <w:szCs w:val="20"/>
                <w:lang w:val="en-AU"/>
              </w:rPr>
            </w:pPr>
            <w:r w:rsidRPr="00B67B69">
              <w:rPr>
                <w:rFonts w:cs="Arial"/>
                <w:sz w:val="20"/>
                <w:szCs w:val="20"/>
                <w:lang w:val="en-AU"/>
              </w:rPr>
              <w:t>Dependent on extent of training required compared to currently promoted voluntary training (</w:t>
            </w:r>
            <w:r w:rsidRPr="00B67B69">
              <w:rPr>
                <w:rFonts w:cs="Arial"/>
                <w:i/>
                <w:iCs/>
                <w:sz w:val="20"/>
                <w:szCs w:val="20"/>
                <w:lang w:val="en-AU"/>
              </w:rPr>
              <w:t>I’M ALERT</w:t>
            </w:r>
            <w:r w:rsidRPr="00B67B69">
              <w:rPr>
                <w:rFonts w:cs="Arial"/>
                <w:sz w:val="20"/>
                <w:szCs w:val="20"/>
                <w:lang w:val="en-AU"/>
              </w:rPr>
              <w:t xml:space="preserve">). </w:t>
            </w:r>
          </w:p>
        </w:tc>
      </w:tr>
      <w:tr w:rsidR="00CB7716" w:rsidRPr="0039626A" w14:paraId="685D4F5C" w14:textId="77777777" w:rsidTr="00CB7716">
        <w:tc>
          <w:tcPr>
            <w:tcW w:w="1440" w:type="dxa"/>
            <w:tcBorders>
              <w:top w:val="single" w:sz="4" w:space="0" w:color="auto"/>
              <w:left w:val="single" w:sz="4" w:space="0" w:color="auto"/>
              <w:bottom w:val="single" w:sz="4" w:space="0" w:color="auto"/>
              <w:right w:val="single" w:sz="4" w:space="0" w:color="auto"/>
            </w:tcBorders>
            <w:hideMark/>
          </w:tcPr>
          <w:p w14:paraId="424BFEBB" w14:textId="77777777" w:rsidR="00CB7716" w:rsidRPr="00B67B69" w:rsidRDefault="00CB7716" w:rsidP="00CB7716">
            <w:pPr>
              <w:spacing w:after="85"/>
              <w:rPr>
                <w:rFonts w:cs="Arial"/>
                <w:sz w:val="20"/>
                <w:szCs w:val="20"/>
                <w:lang w:val="en-AU"/>
              </w:rPr>
            </w:pPr>
            <w:r w:rsidRPr="00B67B69">
              <w:rPr>
                <w:rFonts w:cs="Arial"/>
                <w:sz w:val="20"/>
                <w:szCs w:val="20"/>
                <w:lang w:val="en-AU"/>
              </w:rPr>
              <w:lastRenderedPageBreak/>
              <w:t>NSW, Tasmania</w:t>
            </w:r>
          </w:p>
        </w:tc>
        <w:tc>
          <w:tcPr>
            <w:tcW w:w="4261" w:type="dxa"/>
            <w:tcBorders>
              <w:top w:val="single" w:sz="4" w:space="0" w:color="auto"/>
              <w:left w:val="single" w:sz="4" w:space="0" w:color="auto"/>
              <w:bottom w:val="single" w:sz="4" w:space="0" w:color="auto"/>
              <w:right w:val="single" w:sz="4" w:space="0" w:color="auto"/>
            </w:tcBorders>
            <w:hideMark/>
          </w:tcPr>
          <w:p w14:paraId="78782851" w14:textId="77777777" w:rsidR="00CB7716" w:rsidRPr="00B67B69" w:rsidRDefault="00CB7716" w:rsidP="00CB7716">
            <w:pPr>
              <w:spacing w:after="85"/>
              <w:rPr>
                <w:rFonts w:cs="Arial"/>
                <w:sz w:val="20"/>
                <w:szCs w:val="20"/>
                <w:lang w:val="en-AU"/>
              </w:rPr>
            </w:pPr>
            <w:r w:rsidRPr="00B67B69">
              <w:rPr>
                <w:rFonts w:cs="Arial"/>
                <w:sz w:val="20"/>
                <w:szCs w:val="20"/>
                <w:lang w:val="en-AU"/>
              </w:rPr>
              <w:t>No legislative training requirement for all food handlers.</w:t>
            </w:r>
          </w:p>
        </w:tc>
        <w:tc>
          <w:tcPr>
            <w:tcW w:w="4185" w:type="dxa"/>
            <w:tcBorders>
              <w:top w:val="single" w:sz="4" w:space="0" w:color="auto"/>
              <w:left w:val="single" w:sz="4" w:space="0" w:color="auto"/>
              <w:bottom w:val="single" w:sz="4" w:space="0" w:color="auto"/>
              <w:right w:val="single" w:sz="4" w:space="0" w:color="auto"/>
            </w:tcBorders>
          </w:tcPr>
          <w:p w14:paraId="34AFAA35" w14:textId="77777777" w:rsidR="00CB7716" w:rsidRPr="00B67B69" w:rsidRDefault="00CB7716" w:rsidP="00CB7716">
            <w:pPr>
              <w:spacing w:after="85"/>
              <w:rPr>
                <w:rFonts w:cs="Arial"/>
                <w:sz w:val="20"/>
                <w:szCs w:val="20"/>
                <w:lang w:val="en-AU"/>
              </w:rPr>
            </w:pPr>
            <w:r w:rsidRPr="00B67B69">
              <w:rPr>
                <w:rFonts w:cs="Arial"/>
                <w:sz w:val="20"/>
                <w:szCs w:val="20"/>
                <w:lang w:val="en-AU"/>
              </w:rPr>
              <w:t>Medium gap.</w:t>
            </w:r>
          </w:p>
          <w:p w14:paraId="5221739E" w14:textId="77777777" w:rsidR="00CB7716" w:rsidRPr="00B67B69" w:rsidRDefault="00CB7716" w:rsidP="00CB7716">
            <w:pPr>
              <w:spacing w:after="85"/>
              <w:rPr>
                <w:rFonts w:cs="Arial"/>
                <w:sz w:val="20"/>
                <w:szCs w:val="20"/>
                <w:lang w:val="en-AU"/>
              </w:rPr>
            </w:pPr>
          </w:p>
        </w:tc>
      </w:tr>
      <w:tr w:rsidR="00CB7716" w:rsidRPr="0039626A" w14:paraId="7E278D41" w14:textId="77777777" w:rsidTr="00CB7716">
        <w:tc>
          <w:tcPr>
            <w:tcW w:w="1440" w:type="dxa"/>
            <w:tcBorders>
              <w:top w:val="single" w:sz="4" w:space="0" w:color="auto"/>
              <w:left w:val="single" w:sz="4" w:space="0" w:color="auto"/>
              <w:bottom w:val="single" w:sz="4" w:space="0" w:color="auto"/>
              <w:right w:val="single" w:sz="4" w:space="0" w:color="auto"/>
            </w:tcBorders>
            <w:hideMark/>
          </w:tcPr>
          <w:p w14:paraId="5EBA69E4"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Queensland, </w:t>
            </w:r>
          </w:p>
          <w:p w14:paraId="307D3821" w14:textId="77777777" w:rsidR="00CB7716" w:rsidRPr="00B67B69" w:rsidRDefault="00CB7716" w:rsidP="00CB7716">
            <w:pPr>
              <w:spacing w:after="85"/>
              <w:rPr>
                <w:rFonts w:cs="Arial"/>
                <w:sz w:val="20"/>
                <w:szCs w:val="20"/>
                <w:lang w:val="en-AU"/>
              </w:rPr>
            </w:pPr>
            <w:r w:rsidRPr="00B67B69">
              <w:rPr>
                <w:rFonts w:cs="Arial"/>
                <w:sz w:val="20"/>
                <w:szCs w:val="20"/>
                <w:lang w:val="en-AU"/>
              </w:rPr>
              <w:t>Victoria, SA, WA</w:t>
            </w:r>
          </w:p>
        </w:tc>
        <w:tc>
          <w:tcPr>
            <w:tcW w:w="4261" w:type="dxa"/>
            <w:tcBorders>
              <w:top w:val="single" w:sz="4" w:space="0" w:color="auto"/>
              <w:left w:val="single" w:sz="4" w:space="0" w:color="auto"/>
              <w:bottom w:val="single" w:sz="4" w:space="0" w:color="auto"/>
              <w:right w:val="single" w:sz="4" w:space="0" w:color="auto"/>
            </w:tcBorders>
            <w:hideMark/>
          </w:tcPr>
          <w:p w14:paraId="4EDF1DD5"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No legislative training requirement for all food handlers. </w:t>
            </w:r>
          </w:p>
          <w:p w14:paraId="60885808"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Promotes voluntary training through </w:t>
            </w:r>
            <w:hyperlink r:id="rId51" w:history="1">
              <w:proofErr w:type="spellStart"/>
              <w:r w:rsidRPr="00B67B69">
                <w:rPr>
                  <w:rStyle w:val="Hyperlink"/>
                  <w:rFonts w:cs="Arial"/>
                  <w:i/>
                  <w:sz w:val="20"/>
                  <w:szCs w:val="20"/>
                  <w:lang w:val="en-AU"/>
                </w:rPr>
                <w:t>DoFoodSafely</w:t>
              </w:r>
              <w:proofErr w:type="spellEnd"/>
            </w:hyperlink>
            <w:r w:rsidRPr="00B67B69">
              <w:rPr>
                <w:rFonts w:cs="Arial"/>
                <w:i/>
                <w:sz w:val="20"/>
                <w:szCs w:val="20"/>
                <w:lang w:val="en-AU"/>
              </w:rPr>
              <w:t xml:space="preserve"> </w:t>
            </w:r>
            <w:r w:rsidRPr="00B67B69">
              <w:rPr>
                <w:rFonts w:cs="Arial"/>
                <w:sz w:val="20"/>
                <w:szCs w:val="20"/>
                <w:lang w:val="en-AU"/>
              </w:rPr>
              <w:t>course.</w:t>
            </w:r>
          </w:p>
        </w:tc>
        <w:tc>
          <w:tcPr>
            <w:tcW w:w="4185" w:type="dxa"/>
            <w:tcBorders>
              <w:top w:val="single" w:sz="4" w:space="0" w:color="auto"/>
              <w:left w:val="single" w:sz="4" w:space="0" w:color="auto"/>
              <w:bottom w:val="single" w:sz="4" w:space="0" w:color="auto"/>
              <w:right w:val="single" w:sz="4" w:space="0" w:color="auto"/>
            </w:tcBorders>
          </w:tcPr>
          <w:p w14:paraId="69A61B12" w14:textId="77777777" w:rsidR="00CB7716" w:rsidRPr="00B67B69" w:rsidRDefault="00CB7716" w:rsidP="00CB7716">
            <w:pPr>
              <w:spacing w:after="85"/>
              <w:rPr>
                <w:rFonts w:cs="Arial"/>
                <w:sz w:val="20"/>
                <w:szCs w:val="20"/>
                <w:lang w:val="en-AU"/>
              </w:rPr>
            </w:pPr>
            <w:r w:rsidRPr="00B67B69">
              <w:rPr>
                <w:rFonts w:cs="Arial"/>
                <w:sz w:val="20"/>
                <w:szCs w:val="20"/>
                <w:lang w:val="en-AU"/>
              </w:rPr>
              <w:t>Small gap.</w:t>
            </w:r>
          </w:p>
          <w:p w14:paraId="24697E85" w14:textId="77777777" w:rsidR="00CB7716" w:rsidRPr="00B67B69" w:rsidRDefault="00CB7716" w:rsidP="00CB7716">
            <w:pPr>
              <w:spacing w:after="85"/>
              <w:rPr>
                <w:rFonts w:cs="Arial"/>
                <w:sz w:val="20"/>
                <w:szCs w:val="20"/>
                <w:lang w:val="en-AU"/>
              </w:rPr>
            </w:pPr>
            <w:r w:rsidRPr="00B67B69">
              <w:rPr>
                <w:rFonts w:cs="Arial"/>
                <w:sz w:val="20"/>
                <w:szCs w:val="20"/>
                <w:lang w:val="en-AU"/>
              </w:rPr>
              <w:t>Dependent on extent of training required compared to currently promoted voluntary training (</w:t>
            </w:r>
            <w:proofErr w:type="spellStart"/>
            <w:r w:rsidRPr="00B67B69">
              <w:rPr>
                <w:rFonts w:cs="Arial"/>
                <w:i/>
                <w:sz w:val="20"/>
                <w:szCs w:val="20"/>
                <w:lang w:val="en-AU"/>
              </w:rPr>
              <w:t>DoFoodSafely</w:t>
            </w:r>
            <w:proofErr w:type="spellEnd"/>
            <w:r w:rsidRPr="00B67B69">
              <w:rPr>
                <w:rFonts w:cs="Arial"/>
                <w:sz w:val="20"/>
                <w:szCs w:val="20"/>
                <w:lang w:val="en-AU"/>
              </w:rPr>
              <w:t xml:space="preserve">). </w:t>
            </w:r>
          </w:p>
        </w:tc>
      </w:tr>
    </w:tbl>
    <w:p w14:paraId="4E62E7C1" w14:textId="77777777" w:rsidR="00CB7716" w:rsidRPr="00891044" w:rsidRDefault="00CB7716" w:rsidP="00CB7716">
      <w:pPr>
        <w:rPr>
          <w:b/>
        </w:rPr>
      </w:pPr>
      <w:r>
        <w:rPr>
          <w:sz w:val="20"/>
        </w:rPr>
        <w:t xml:space="preserve">FSC = Food Standards Code, P1 and P2 = priority classifications under the national </w:t>
      </w:r>
      <w:r w:rsidRPr="00745327">
        <w:rPr>
          <w:sz w:val="20"/>
        </w:rPr>
        <w:t>Risk Profiling Framework</w:t>
      </w:r>
    </w:p>
    <w:p w14:paraId="3F7DB47D" w14:textId="77777777" w:rsidR="00B67B69" w:rsidRDefault="00B67B69" w:rsidP="006E77ED">
      <w:bookmarkStart w:id="306" w:name="_Toc70953245"/>
    </w:p>
    <w:p w14:paraId="4361BBBE" w14:textId="3C5FBA5F" w:rsidR="00CB7716" w:rsidRPr="00B67B69" w:rsidRDefault="00CB7716" w:rsidP="00B67B69">
      <w:pPr>
        <w:rPr>
          <w:b/>
          <w:i/>
        </w:rPr>
      </w:pPr>
      <w:r w:rsidRPr="00B67B69">
        <w:rPr>
          <w:b/>
          <w:i/>
        </w:rPr>
        <w:t>Implementation: FHT</w:t>
      </w:r>
    </w:p>
    <w:p w14:paraId="176C3FB1" w14:textId="69DA7BAD" w:rsidR="00CB7716" w:rsidRDefault="00D75821" w:rsidP="00B67B69">
      <w:pPr>
        <w:spacing w:after="240"/>
      </w:pPr>
      <w:r w:rsidRPr="000A0ECD">
        <w:t>There are many food handler training options currently available, including those promoted by state/territory government that are no cost to local government or businesses</w:t>
      </w:r>
      <w:r>
        <w:t xml:space="preserve"> (</w:t>
      </w:r>
      <w:r w:rsidR="00CB7716" w:rsidRPr="00442992">
        <w:t xml:space="preserve">I’M ALERT and </w:t>
      </w:r>
      <w:proofErr w:type="spellStart"/>
      <w:r w:rsidR="00CB7716" w:rsidRPr="00442992">
        <w:t>DoFoodSafely</w:t>
      </w:r>
      <w:proofErr w:type="spellEnd"/>
      <w:r>
        <w:t>)</w:t>
      </w:r>
      <w:r w:rsidR="00CB7716" w:rsidRPr="00442992">
        <w:t xml:space="preserve">. </w:t>
      </w:r>
    </w:p>
    <w:p w14:paraId="2ED430B5" w14:textId="77777777" w:rsidR="00CB7716" w:rsidRPr="00E56393" w:rsidRDefault="00CB7716" w:rsidP="00B67B69">
      <w:pPr>
        <w:spacing w:after="240"/>
      </w:pPr>
      <w:r>
        <w:t>FSANZ considers mandating</w:t>
      </w:r>
      <w:r w:rsidRPr="00E56393">
        <w:t xml:space="preserve"> food handler training with specified content </w:t>
      </w:r>
      <w:r>
        <w:t>should</w:t>
      </w:r>
      <w:r w:rsidRPr="00E56393">
        <w:t xml:space="preserve">: </w:t>
      </w:r>
    </w:p>
    <w:p w14:paraId="1D5D6D91" w14:textId="77777777" w:rsidR="00CB7716" w:rsidRPr="00E56393" w:rsidRDefault="00CB7716" w:rsidP="00614AF5">
      <w:pPr>
        <w:pStyle w:val="ListParagraph"/>
        <w:numPr>
          <w:ilvl w:val="0"/>
          <w:numId w:val="85"/>
        </w:numPr>
        <w:spacing w:after="240"/>
      </w:pPr>
      <w:r>
        <w:t>ensure all food handlers receive information on the safe handling of PHF before beginning food handling activities, enhancing the requirements in clause 3 of Standard 3.2.2</w:t>
      </w:r>
    </w:p>
    <w:p w14:paraId="2441170A" w14:textId="77777777" w:rsidR="00CB7716" w:rsidRPr="00E56393" w:rsidRDefault="00CB7716" w:rsidP="00614AF5">
      <w:pPr>
        <w:pStyle w:val="ListParagraph"/>
        <w:numPr>
          <w:ilvl w:val="0"/>
          <w:numId w:val="85"/>
        </w:numPr>
        <w:spacing w:after="240"/>
      </w:pPr>
      <w:r w:rsidRPr="00E56393">
        <w:t>increase awareness of the importance</w:t>
      </w:r>
      <w:r>
        <w:t xml:space="preserve"> of, and techniques</w:t>
      </w:r>
      <w:r w:rsidRPr="00E56393">
        <w:t xml:space="preserve"> for</w:t>
      </w:r>
      <w:r>
        <w:t>,</w:t>
      </w:r>
      <w:r w:rsidRPr="00E56393">
        <w:t xml:space="preserve"> safe food handling</w:t>
      </w:r>
    </w:p>
    <w:p w14:paraId="701D996C" w14:textId="77777777" w:rsidR="00CB7716" w:rsidRDefault="00CB7716" w:rsidP="00614AF5">
      <w:pPr>
        <w:pStyle w:val="ListParagraph"/>
        <w:numPr>
          <w:ilvl w:val="0"/>
          <w:numId w:val="85"/>
        </w:numPr>
        <w:spacing w:after="240"/>
      </w:pPr>
      <w:r w:rsidRPr="00E56393">
        <w:t xml:space="preserve">supplement information from supervisors or peers </w:t>
      </w:r>
    </w:p>
    <w:p w14:paraId="3A93A651" w14:textId="77777777" w:rsidR="00CB7716" w:rsidRPr="00E56393" w:rsidRDefault="00CB7716" w:rsidP="00614AF5">
      <w:pPr>
        <w:pStyle w:val="ListParagraph"/>
        <w:numPr>
          <w:ilvl w:val="0"/>
          <w:numId w:val="85"/>
        </w:numPr>
        <w:spacing w:after="240"/>
      </w:pPr>
      <w:r w:rsidRPr="00E56393">
        <w:t>reduce the need for close supervision</w:t>
      </w:r>
      <w:r>
        <w:t>.</w:t>
      </w:r>
      <w:r w:rsidRPr="00E56393">
        <w:t xml:space="preserve"> </w:t>
      </w:r>
    </w:p>
    <w:p w14:paraId="4D60426C" w14:textId="77777777" w:rsidR="00CB7716" w:rsidRPr="004B3692" w:rsidRDefault="00CB7716" w:rsidP="0025246D">
      <w:pPr>
        <w:pStyle w:val="Heading4"/>
        <w:numPr>
          <w:ilvl w:val="0"/>
          <w:numId w:val="0"/>
        </w:numPr>
        <w:ind w:left="864" w:hanging="864"/>
      </w:pPr>
      <w:bookmarkStart w:id="307" w:name="_Toc107412692"/>
      <w:r>
        <w:t>4.4.3</w:t>
      </w:r>
      <w:r w:rsidRPr="004B3692">
        <w:tab/>
      </w:r>
      <w:bookmarkEnd w:id="306"/>
      <w:r w:rsidRPr="004B3692">
        <w:t>Evidence to substantiate food safety management (E)</w:t>
      </w:r>
      <w:bookmarkEnd w:id="307"/>
    </w:p>
    <w:p w14:paraId="00E110A4" w14:textId="2CEB8ADF" w:rsidR="00CB7716" w:rsidRDefault="00CB7716" w:rsidP="00B67B69">
      <w:pPr>
        <w:spacing w:after="240"/>
      </w:pPr>
      <w:r>
        <w:t>Standard 3.2.2 outlines minimum food safety requirements at each step of the food handling process. This standard provides a food business with the basis for identifying key risks and activities that need to be managed to ensure food is safe. The standard’s requirements are based on knowledge of the specific characteristics of pathogens most likely associated with particular PHF (</w:t>
      </w:r>
      <w:proofErr w:type="spellStart"/>
      <w:r>
        <w:t>pathogen:food</w:t>
      </w:r>
      <w:proofErr w:type="spellEnd"/>
      <w:r>
        <w:t xml:space="preserve"> pairs), and risks associated with different activities. Keeping documentation or other evidence is not mandated in Standard 3.2.2. </w:t>
      </w:r>
      <w:r w:rsidRPr="68C0CA2D">
        <w:rPr>
          <w:i/>
          <w:iCs/>
        </w:rPr>
        <w:t>Safe Food Australia</w:t>
      </w:r>
      <w:r>
        <w:t xml:space="preserve"> (FSANZ, 2016) guidance notes that businesses may find it useful to monitor and document control steps and recommends keeping certain records as best practice (e.g. that PHF is stored at 5</w:t>
      </w:r>
      <w:r w:rsidRPr="68C0CA2D">
        <w:rPr>
          <w:vertAlign w:val="superscript"/>
        </w:rPr>
        <w:t>o</w:t>
      </w:r>
      <w:r>
        <w:t xml:space="preserve">C, as checked at a specified time). </w:t>
      </w:r>
    </w:p>
    <w:p w14:paraId="55480A2A" w14:textId="7EC1500B" w:rsidR="00CB7716" w:rsidRDefault="00CB7716" w:rsidP="00B67B69">
      <w:pPr>
        <w:spacing w:after="240"/>
      </w:pPr>
      <w:r>
        <w:t xml:space="preserve">The current requirements of Standard 3.2.2 only provide final outcomes to be met. They do not ensure businesses actively manage the key risks, through monitoring the critical processes, identifying when they fail, and taking corrective actions. </w:t>
      </w:r>
    </w:p>
    <w:p w14:paraId="47BADC01" w14:textId="27976DEF" w:rsidR="00CB7716" w:rsidRPr="00B67B69" w:rsidRDefault="00CB7716" w:rsidP="00B67B69">
      <w:pPr>
        <w:rPr>
          <w:b/>
          <w:i/>
        </w:rPr>
      </w:pPr>
      <w:r w:rsidRPr="00B67B69">
        <w:rPr>
          <w:b/>
          <w:i/>
        </w:rPr>
        <w:t>Target processes for enhanced attention</w:t>
      </w:r>
    </w:p>
    <w:p w14:paraId="6696E322" w14:textId="17D140AB" w:rsidR="00CB7716" w:rsidRDefault="00CB7716" w:rsidP="00B67B69">
      <w:pPr>
        <w:spacing w:after="240"/>
      </w:pPr>
      <w:r>
        <w:t>It is internationally recognised, through the work of Codex, that key food handling activities (such as temperature control, cleaning and sanitising) require ‘enhanced’ attention. We use this term to mean above baseline good hygiene practices (GHP), but less stringent than a HACCP approach.</w:t>
      </w:r>
    </w:p>
    <w:p w14:paraId="3297E9B9" w14:textId="3D88317B" w:rsidR="00643567" w:rsidRDefault="00CB7716" w:rsidP="00B67B69">
      <w:pPr>
        <w:spacing w:after="240"/>
        <w:rPr>
          <w:lang w:eastAsia="en-AU"/>
        </w:rPr>
      </w:pPr>
      <w:r>
        <w:rPr>
          <w:lang w:eastAsia="en-AU"/>
        </w:rPr>
        <w:t xml:space="preserve">Ministers proposed there would be a significant impact on reducing foodborne illness if businesses kept evidence that key processes are managed. FSANZ was asked to consider this as a regulatory measure. </w:t>
      </w:r>
    </w:p>
    <w:p w14:paraId="6E3A58EE" w14:textId="71B7A75F" w:rsidR="00CB7716" w:rsidRDefault="00CB7716" w:rsidP="00B67B69">
      <w:pPr>
        <w:spacing w:after="240"/>
        <w:rPr>
          <w:lang w:eastAsia="en-AU"/>
        </w:rPr>
      </w:pPr>
      <w:r>
        <w:t>We have considered enhancing current requirements with a regulatory measure where some, or all, in-scope businesses keep a record, or can demonstrate (to authorised officers) in some other way, that activities essential to producing safe food have been managed.</w:t>
      </w:r>
      <w:r>
        <w:rPr>
          <w:lang w:eastAsia="en-AU"/>
        </w:rPr>
        <w:t xml:space="preserve"> The </w:t>
      </w:r>
      <w:r>
        <w:rPr>
          <w:lang w:eastAsia="en-AU"/>
        </w:rPr>
        <w:lastRenderedPageBreak/>
        <w:t>proposed requirement is distinct from, and less stringent than, developing a food safety program (FSP). A FSP requires a business to implement HACCP principles to address all the food safety risks of its operations, and to keep documented records of how prescribed activities are managed.</w:t>
      </w:r>
    </w:p>
    <w:p w14:paraId="4F729015" w14:textId="40811E55" w:rsidR="00CB7716" w:rsidRDefault="00CB7716" w:rsidP="00B67B69">
      <w:pPr>
        <w:spacing w:after="240"/>
        <w:rPr>
          <w:lang w:eastAsia="en-AU"/>
        </w:rPr>
      </w:pPr>
      <w:r>
        <w:rPr>
          <w:lang w:eastAsia="en-AU"/>
        </w:rPr>
        <w:t>FSANZ specifically targeted processes that are key contributors to foodborne illness outbreaks. These processes were identified from our risk profiling of in-scope business and food handling activities. They are also reported anecdotally by food regulators as common areas of non-compliance during audits.</w:t>
      </w:r>
    </w:p>
    <w:p w14:paraId="59ADD7CF" w14:textId="77777777" w:rsidR="00B67B69" w:rsidRDefault="00CB7716" w:rsidP="00B67B69">
      <w:pPr>
        <w:spacing w:after="240"/>
      </w:pPr>
      <w:r w:rsidRPr="68C0CA2D">
        <w:rPr>
          <w:lang w:eastAsia="en-AU"/>
        </w:rPr>
        <w:t xml:space="preserve">The identified processes are </w:t>
      </w:r>
      <w:r>
        <w:t xml:space="preserve">temperature control, food processing and cleaning and sanitising. FSANZ considers these activities require close monitoring when preparing PHF in a food service setting. Ensuring food safety through these activities can be complex, depending on the nature of the food, the food handling activity and scale of operations. Because different food service businesses’ practices vary widely, a flexible approach to monitoring and documentation is needed. </w:t>
      </w:r>
      <w:bookmarkStart w:id="308" w:name="_Toc70953246"/>
    </w:p>
    <w:p w14:paraId="33901156" w14:textId="2FE40558" w:rsidR="00CB7716" w:rsidRPr="00B67B69" w:rsidRDefault="00CB7716" w:rsidP="00B67B69">
      <w:pPr>
        <w:rPr>
          <w:b/>
          <w:i/>
        </w:rPr>
      </w:pPr>
      <w:r w:rsidRPr="00B67B69">
        <w:rPr>
          <w:b/>
          <w:i/>
        </w:rPr>
        <w:t xml:space="preserve">Evaluation: E </w:t>
      </w:r>
      <w:bookmarkEnd w:id="308"/>
    </w:p>
    <w:p w14:paraId="38F5F0AD" w14:textId="43FD8725" w:rsidR="00CB7716" w:rsidRDefault="00CB7716" w:rsidP="00B67B69">
      <w:pPr>
        <w:spacing w:after="240"/>
      </w:pPr>
      <w:r>
        <w:t>To assess the proposed E measure, FSANZ consulted with the ISFR Implementation Working Group (IWG) to develop hypothetical scenarios. These scenarios create example situations where an enhancement to the current requirement of Standard 3.2.2 would be in place.</w:t>
      </w:r>
    </w:p>
    <w:p w14:paraId="4E1EEDEB" w14:textId="1D730861" w:rsidR="00CB7716" w:rsidRDefault="00CB7716" w:rsidP="00B67B69">
      <w:pPr>
        <w:spacing w:after="240"/>
      </w:pPr>
      <w:r>
        <w:t xml:space="preserve">One scenario is making a bulk lasagne for service later in the day. Standard 3.2.2 has a specific cooling requirement, so that food handlers manage the cooling of cooked PHF to ensure pathogen spores in the food do not germinate and produce toxins. The enhanced requirement of E means the business would have to document, record or keep other evidence of the cooling process. This would enable the food handler to actively manage the key risks, through carefully monitoring the critical processes (food temperature at different time intervals). If the food was not cooling correctly, this should signal </w:t>
      </w:r>
      <w:bookmarkStart w:id="309" w:name="_Int_N9RnzRbQ"/>
      <w:r>
        <w:t>that corrective actions</w:t>
      </w:r>
      <w:bookmarkEnd w:id="309"/>
      <w:r>
        <w:t xml:space="preserve"> are needed (e.g. dividing the lasagne into smaller portions), followed by further monitoring. Templates are available in </w:t>
      </w:r>
      <w:r w:rsidRPr="68C0CA2D">
        <w:rPr>
          <w:iCs/>
        </w:rPr>
        <w:t>Safe Food Australia</w:t>
      </w:r>
      <w:r>
        <w:t xml:space="preserve"> (e.g. for cooling: Template 3 in Appendix 8) so businesses could record exact temperatures and times during this process.</w:t>
      </w:r>
    </w:p>
    <w:p w14:paraId="139A3EBE" w14:textId="553C2FE5" w:rsidR="00CB7716" w:rsidRDefault="00CB7716" w:rsidP="00B67B69">
      <w:pPr>
        <w:spacing w:after="240"/>
      </w:pPr>
      <w:r>
        <w:t>Another</w:t>
      </w:r>
      <w:r w:rsidDel="00B93C34">
        <w:t xml:space="preserve"> </w:t>
      </w:r>
      <w:r>
        <w:t xml:space="preserve">scenario is preparing trays of sandwiches. Standard 3.2.2 requires the food business to make sure preparation time—which is time where the PHF is at ambient temperatures—is minimised, to prevent pathogen growth. Under the E requirement, the business might have standard operating procedures (SOPs) that food handlers must follow each time a sandwich batch is made. For example, the SOP may include instructions that a certain amount of ingredients is brought out of the fridge, and that each batch of sandwiches is prepared in a set time (e.g. 10 minutes), before the food is put back in the fridge. This SOP would then show the system the business has in place to ensure sandwiches are safely prepared. </w:t>
      </w:r>
      <w:r w:rsidRPr="68C0CA2D">
        <w:rPr>
          <w:iCs/>
        </w:rPr>
        <w:t>Safe Food Australia</w:t>
      </w:r>
      <w:r>
        <w:t xml:space="preserve"> includes a template (Template 5 in Appendix 8) for time and temperature control. </w:t>
      </w:r>
    </w:p>
    <w:p w14:paraId="29498CD1" w14:textId="77777777" w:rsidR="00B67B69" w:rsidRDefault="00CB7716" w:rsidP="00B67B69">
      <w:pPr>
        <w:spacing w:after="240"/>
      </w:pPr>
      <w:r>
        <w:t>A third</w:t>
      </w:r>
      <w:r w:rsidDel="00B93C34">
        <w:t xml:space="preserve"> </w:t>
      </w:r>
      <w:r>
        <w:t xml:space="preserve">scenario is for cleaning and sanitising. If surfaces are not cleaned properly before sanitising, or if incorrect concentrations of sanitiser are used, the surfaces could remain contaminated and make food unsafe. The E measure would help businesses in making sure cleaning is properly completed (e.g. through a documented cleaning schedule, to be signed by the responsible person). Similarly for sanitising, E measures should assist businesses with correct protocols (e.g. to record the sanitiser dilution and date, to be sure it is the correct concentration and has not expired). </w:t>
      </w:r>
      <w:r w:rsidRPr="68C0CA2D">
        <w:rPr>
          <w:iCs/>
        </w:rPr>
        <w:t>Safe Food Australia</w:t>
      </w:r>
      <w:r>
        <w:t xml:space="preserve"> includes templates for cleaning and sanitising activities (Templates 6 and 7, Appendix 8).</w:t>
      </w:r>
      <w:bookmarkStart w:id="310" w:name="_Toc87275053"/>
      <w:bookmarkStart w:id="311" w:name="_Toc70953247"/>
      <w:bookmarkEnd w:id="310"/>
    </w:p>
    <w:p w14:paraId="1EB0E551" w14:textId="12823C22" w:rsidR="00CB7716" w:rsidRPr="00B67B69" w:rsidRDefault="00CB7716" w:rsidP="00B67B69">
      <w:pPr>
        <w:rPr>
          <w:b/>
          <w:i/>
        </w:rPr>
      </w:pPr>
      <w:r w:rsidRPr="00B67B69">
        <w:rPr>
          <w:b/>
          <w:i/>
        </w:rPr>
        <w:t xml:space="preserve">Gap analysis: E </w:t>
      </w:r>
      <w:bookmarkEnd w:id="311"/>
    </w:p>
    <w:p w14:paraId="035A1638" w14:textId="07B19E46" w:rsidR="00CB7716" w:rsidRDefault="00CB7716" w:rsidP="00B67B69">
      <w:pPr>
        <w:spacing w:after="240"/>
        <w:rPr>
          <w:color w:val="000000" w:themeColor="text1"/>
          <w:lang w:eastAsia="en-AU"/>
        </w:rPr>
      </w:pPr>
      <w:r w:rsidRPr="68C0CA2D">
        <w:rPr>
          <w:color w:val="000000" w:themeColor="text1"/>
          <w:lang w:eastAsia="en-AU"/>
        </w:rPr>
        <w:lastRenderedPageBreak/>
        <w:t xml:space="preserve">There is no national regulatory requirement for </w:t>
      </w:r>
      <w:r>
        <w:t xml:space="preserve">food service and retail businesses to keep evidence of monitoring/managing their critical food safety controls. </w:t>
      </w:r>
      <w:r w:rsidRPr="68C0CA2D">
        <w:rPr>
          <w:color w:val="000000" w:themeColor="text1"/>
          <w:lang w:eastAsia="en-AU"/>
        </w:rPr>
        <w:t xml:space="preserve">However, some jurisdictions require certain in-scope businesses to make a record of specific processes. For example, particular businesses </w:t>
      </w:r>
      <w:r w:rsidRPr="48861835">
        <w:rPr>
          <w:color w:val="000000" w:themeColor="text1"/>
          <w:lang w:eastAsia="en-AU"/>
        </w:rPr>
        <w:t>must</w:t>
      </w:r>
      <w:r w:rsidRPr="68C0CA2D">
        <w:rPr>
          <w:color w:val="000000" w:themeColor="text1"/>
          <w:lang w:eastAsia="en-AU"/>
        </w:rPr>
        <w:t xml:space="preserve"> have </w:t>
      </w:r>
      <w:r w:rsidRPr="48861835">
        <w:rPr>
          <w:color w:val="000000" w:themeColor="text1"/>
          <w:lang w:eastAsia="en-AU"/>
        </w:rPr>
        <w:t>an</w:t>
      </w:r>
      <w:r w:rsidRPr="68C0CA2D">
        <w:rPr>
          <w:color w:val="000000" w:themeColor="text1"/>
          <w:lang w:eastAsia="en-AU"/>
        </w:rPr>
        <w:t xml:space="preserve"> FSP, or</w:t>
      </w:r>
      <w:r w:rsidRPr="68C0CA2D" w:rsidDel="00AF04C6">
        <w:rPr>
          <w:color w:val="000000" w:themeColor="text1"/>
          <w:lang w:eastAsia="en-AU"/>
        </w:rPr>
        <w:t xml:space="preserve"> </w:t>
      </w:r>
      <w:r w:rsidRPr="68C0CA2D">
        <w:rPr>
          <w:color w:val="000000" w:themeColor="text1"/>
          <w:lang w:eastAsia="en-AU"/>
        </w:rPr>
        <w:t xml:space="preserve">document the safe handling of raw eggs. </w:t>
      </w:r>
    </w:p>
    <w:p w14:paraId="729EF3D9" w14:textId="2516C489" w:rsidR="00A94813" w:rsidRDefault="00CB7716" w:rsidP="00B67B69">
      <w:pPr>
        <w:spacing w:after="240"/>
      </w:pPr>
      <w:r>
        <w:rPr>
          <w:bCs/>
          <w:color w:val="000000" w:themeColor="text1"/>
          <w:lang w:eastAsia="en-AU"/>
        </w:rPr>
        <w:t>FSANZ completed a gap analysis of the differing requirements in Australian states and territories, provided in Table 5.</w:t>
      </w:r>
      <w:r>
        <w:t xml:space="preserve"> In summary, there is a medium to large gap in most jurisdictions between current requirements and proposed measures. That is, for most jurisdictions, the E will be an extra requirement.</w:t>
      </w:r>
    </w:p>
    <w:p w14:paraId="1E3C4D5D" w14:textId="77777777" w:rsidR="00CB7716" w:rsidRPr="008D4EFA" w:rsidRDefault="00CB7716" w:rsidP="00CB7716">
      <w:pPr>
        <w:pStyle w:val="Caption"/>
        <w:keepNext/>
        <w:rPr>
          <w:b/>
          <w:color w:val="auto"/>
          <w:sz w:val="20"/>
          <w:szCs w:val="20"/>
        </w:rPr>
      </w:pPr>
      <w:r w:rsidRPr="008D4EFA">
        <w:rPr>
          <w:b/>
          <w:color w:val="auto"/>
          <w:sz w:val="20"/>
          <w:szCs w:val="20"/>
        </w:rPr>
        <w:t>Table 5: Gap analysis of records required across jurisdictions</w:t>
      </w:r>
    </w:p>
    <w:tbl>
      <w:tblPr>
        <w:tblW w:w="9906" w:type="dxa"/>
        <w:tblLook w:val="04A0" w:firstRow="1" w:lastRow="0" w:firstColumn="1" w:lastColumn="0" w:noHBand="0" w:noVBand="1"/>
      </w:tblPr>
      <w:tblGrid>
        <w:gridCol w:w="1410"/>
        <w:gridCol w:w="3141"/>
        <w:gridCol w:w="5355"/>
      </w:tblGrid>
      <w:tr w:rsidR="00CB7716" w:rsidRPr="00745327" w14:paraId="5BF520AB" w14:textId="77777777" w:rsidTr="3C0957AF">
        <w:trPr>
          <w:tblHeader/>
        </w:trPr>
        <w:tc>
          <w:tcPr>
            <w:tcW w:w="1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A70B1D8" w14:textId="77777777" w:rsidR="00CB7716" w:rsidRPr="00745327" w:rsidRDefault="00CB7716" w:rsidP="00CB7716">
            <w:pPr>
              <w:spacing w:after="85"/>
              <w:rPr>
                <w:b/>
                <w:sz w:val="20"/>
                <w:szCs w:val="20"/>
                <w:lang w:val="en-AU"/>
              </w:rPr>
            </w:pPr>
            <w:r w:rsidRPr="00745327">
              <w:rPr>
                <w:b/>
                <w:sz w:val="20"/>
                <w:szCs w:val="20"/>
                <w:lang w:val="en-AU"/>
              </w:rPr>
              <w:t>State/</w:t>
            </w:r>
          </w:p>
          <w:p w14:paraId="206362C5" w14:textId="77777777" w:rsidR="00CB7716" w:rsidRPr="00745327" w:rsidRDefault="00CB7716" w:rsidP="00CB7716">
            <w:pPr>
              <w:spacing w:after="85"/>
              <w:rPr>
                <w:b/>
                <w:sz w:val="20"/>
                <w:szCs w:val="20"/>
                <w:lang w:val="en-AU"/>
              </w:rPr>
            </w:pPr>
            <w:r w:rsidRPr="00745327">
              <w:rPr>
                <w:b/>
                <w:sz w:val="20"/>
                <w:szCs w:val="20"/>
                <w:lang w:val="en-AU"/>
              </w:rPr>
              <w:t>territory</w:t>
            </w:r>
          </w:p>
        </w:tc>
        <w:tc>
          <w:tcPr>
            <w:tcW w:w="314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FD0D4FE" w14:textId="77777777" w:rsidR="00CB7716" w:rsidRPr="00745327" w:rsidRDefault="00CB7716" w:rsidP="00CB7716">
            <w:pPr>
              <w:spacing w:after="85"/>
              <w:rPr>
                <w:sz w:val="20"/>
                <w:szCs w:val="20"/>
                <w:lang w:val="en-AU"/>
              </w:rPr>
            </w:pPr>
            <w:r w:rsidRPr="00745327">
              <w:rPr>
                <w:sz w:val="20"/>
                <w:szCs w:val="20"/>
                <w:lang w:val="en-AU"/>
              </w:rPr>
              <w:t>Current requirements</w:t>
            </w:r>
          </w:p>
        </w:tc>
        <w:tc>
          <w:tcPr>
            <w:tcW w:w="535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987DB4F" w14:textId="77777777" w:rsidR="00CB7716" w:rsidRPr="00745327" w:rsidRDefault="00CB7716" w:rsidP="00CB7716">
            <w:pPr>
              <w:spacing w:after="85"/>
              <w:rPr>
                <w:sz w:val="20"/>
                <w:szCs w:val="20"/>
                <w:lang w:val="en-AU"/>
              </w:rPr>
            </w:pPr>
            <w:r w:rsidRPr="00745327">
              <w:rPr>
                <w:sz w:val="20"/>
                <w:szCs w:val="20"/>
                <w:lang w:val="en-AU"/>
              </w:rPr>
              <w:t>Gap between current and proposed measure</w:t>
            </w:r>
          </w:p>
        </w:tc>
      </w:tr>
      <w:tr w:rsidR="00CB7716" w:rsidRPr="00745327" w14:paraId="4F49724F" w14:textId="77777777" w:rsidTr="3C0957AF">
        <w:tc>
          <w:tcPr>
            <w:tcW w:w="1410" w:type="dxa"/>
            <w:tcBorders>
              <w:top w:val="single" w:sz="4" w:space="0" w:color="auto"/>
              <w:left w:val="single" w:sz="4" w:space="0" w:color="auto"/>
              <w:bottom w:val="single" w:sz="4" w:space="0" w:color="auto"/>
              <w:right w:val="single" w:sz="4" w:space="0" w:color="auto"/>
            </w:tcBorders>
          </w:tcPr>
          <w:p w14:paraId="65F31816" w14:textId="77777777" w:rsidR="00CB7716" w:rsidRPr="00B67B69" w:rsidRDefault="00CB7716" w:rsidP="00CB7716">
            <w:pPr>
              <w:spacing w:after="85"/>
              <w:rPr>
                <w:rFonts w:cs="Arial"/>
                <w:sz w:val="20"/>
                <w:szCs w:val="20"/>
                <w:lang w:val="en-AU"/>
              </w:rPr>
            </w:pPr>
            <w:r w:rsidRPr="00B67B69">
              <w:rPr>
                <w:rFonts w:cs="Arial"/>
                <w:sz w:val="20"/>
                <w:szCs w:val="20"/>
                <w:lang w:val="en-AU"/>
              </w:rPr>
              <w:t>National (FSC)</w:t>
            </w:r>
          </w:p>
        </w:tc>
        <w:tc>
          <w:tcPr>
            <w:tcW w:w="3141" w:type="dxa"/>
            <w:tcBorders>
              <w:top w:val="single" w:sz="4" w:space="0" w:color="auto"/>
              <w:left w:val="single" w:sz="4" w:space="0" w:color="auto"/>
              <w:bottom w:val="single" w:sz="4" w:space="0" w:color="auto"/>
              <w:right w:val="single" w:sz="4" w:space="0" w:color="auto"/>
            </w:tcBorders>
          </w:tcPr>
          <w:p w14:paraId="39EFE746" w14:textId="77777777" w:rsidR="00CB7716" w:rsidRPr="00B67B69" w:rsidRDefault="00CB7716" w:rsidP="00CB7716">
            <w:pPr>
              <w:spacing w:after="85"/>
              <w:rPr>
                <w:rFonts w:cs="Arial"/>
                <w:sz w:val="20"/>
                <w:szCs w:val="20"/>
                <w:lang w:val="en-AU"/>
              </w:rPr>
            </w:pPr>
            <w:r w:rsidRPr="00B67B69">
              <w:rPr>
                <w:rFonts w:cs="Arial"/>
                <w:sz w:val="20"/>
                <w:szCs w:val="20"/>
                <w:lang w:val="en-AU"/>
              </w:rPr>
              <w:t>No legislative requirement for in-scope businesses to keep records (unless those businesses are required by jurisdictional food act to have a food safety program under Standard 3.2.1).</w:t>
            </w:r>
          </w:p>
        </w:tc>
        <w:tc>
          <w:tcPr>
            <w:tcW w:w="5355" w:type="dxa"/>
            <w:tcBorders>
              <w:top w:val="single" w:sz="4" w:space="0" w:color="auto"/>
              <w:left w:val="single" w:sz="4" w:space="0" w:color="auto"/>
              <w:bottom w:val="single" w:sz="4" w:space="0" w:color="auto"/>
              <w:right w:val="single" w:sz="4" w:space="0" w:color="auto"/>
            </w:tcBorders>
          </w:tcPr>
          <w:p w14:paraId="438835C1" w14:textId="77777777" w:rsidR="00CB7716" w:rsidRPr="00B67B69" w:rsidRDefault="00CB7716" w:rsidP="00CB7716">
            <w:pPr>
              <w:spacing w:after="85"/>
              <w:rPr>
                <w:rFonts w:cs="Arial"/>
                <w:sz w:val="20"/>
                <w:szCs w:val="20"/>
                <w:lang w:val="en-AU"/>
              </w:rPr>
            </w:pPr>
            <w:r w:rsidRPr="00B67B69">
              <w:rPr>
                <w:rFonts w:cs="Arial"/>
                <w:sz w:val="20"/>
                <w:szCs w:val="20"/>
                <w:lang w:val="en-AU"/>
              </w:rPr>
              <w:t>Medium to large gap dependent on food handling activities.</w:t>
            </w:r>
          </w:p>
          <w:p w14:paraId="5B831856"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Proposed requirement is for businesses to have evidence to substantiate food safety management of key food handling processes. </w:t>
            </w:r>
          </w:p>
        </w:tc>
      </w:tr>
      <w:tr w:rsidR="00CB7716" w:rsidRPr="00745327" w14:paraId="28D719E9"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4FB31D16" w14:textId="77777777" w:rsidR="00CB7716" w:rsidRPr="00B67B69" w:rsidRDefault="00CB7716" w:rsidP="00CB7716">
            <w:pPr>
              <w:spacing w:after="85"/>
              <w:rPr>
                <w:rFonts w:cs="Arial"/>
                <w:sz w:val="20"/>
                <w:szCs w:val="20"/>
                <w:lang w:val="en-AU"/>
              </w:rPr>
            </w:pPr>
            <w:r w:rsidRPr="00B67B69">
              <w:rPr>
                <w:rFonts w:cs="Arial"/>
                <w:sz w:val="20"/>
                <w:szCs w:val="20"/>
                <w:lang w:val="en-AU"/>
              </w:rPr>
              <w:t>ACT</w:t>
            </w:r>
          </w:p>
        </w:tc>
        <w:tc>
          <w:tcPr>
            <w:tcW w:w="3141" w:type="dxa"/>
            <w:tcBorders>
              <w:top w:val="single" w:sz="4" w:space="0" w:color="auto"/>
              <w:left w:val="single" w:sz="4" w:space="0" w:color="auto"/>
              <w:bottom w:val="single" w:sz="4" w:space="0" w:color="auto"/>
              <w:right w:val="single" w:sz="4" w:space="0" w:color="auto"/>
            </w:tcBorders>
          </w:tcPr>
          <w:p w14:paraId="256FAD69"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tc>
        <w:tc>
          <w:tcPr>
            <w:tcW w:w="5355" w:type="dxa"/>
            <w:tcBorders>
              <w:top w:val="single" w:sz="4" w:space="0" w:color="auto"/>
              <w:left w:val="single" w:sz="4" w:space="0" w:color="auto"/>
              <w:bottom w:val="single" w:sz="4" w:space="0" w:color="auto"/>
              <w:right w:val="single" w:sz="4" w:space="0" w:color="auto"/>
            </w:tcBorders>
          </w:tcPr>
          <w:p w14:paraId="485C5582"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19493731"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tc>
      </w:tr>
      <w:tr w:rsidR="00CB7716" w:rsidRPr="00745327" w14:paraId="2C0EDD85"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5F09C194" w14:textId="77777777" w:rsidR="00CB7716" w:rsidRPr="00B67B69" w:rsidRDefault="00CB7716" w:rsidP="00CB7716">
            <w:pPr>
              <w:spacing w:after="85"/>
              <w:rPr>
                <w:rFonts w:cs="Arial"/>
                <w:sz w:val="20"/>
                <w:szCs w:val="20"/>
                <w:lang w:val="en-AU"/>
              </w:rPr>
            </w:pPr>
            <w:r w:rsidRPr="00B67B69">
              <w:rPr>
                <w:rFonts w:cs="Arial"/>
                <w:sz w:val="20"/>
                <w:szCs w:val="20"/>
                <w:lang w:val="en-AU"/>
              </w:rPr>
              <w:t>NSW</w:t>
            </w:r>
          </w:p>
        </w:tc>
        <w:tc>
          <w:tcPr>
            <w:tcW w:w="3141" w:type="dxa"/>
            <w:tcBorders>
              <w:top w:val="single" w:sz="4" w:space="0" w:color="auto"/>
              <w:left w:val="single" w:sz="4" w:space="0" w:color="auto"/>
              <w:bottom w:val="single" w:sz="4" w:space="0" w:color="auto"/>
              <w:right w:val="single" w:sz="4" w:space="0" w:color="auto"/>
            </w:tcBorders>
          </w:tcPr>
          <w:p w14:paraId="145444FA" w14:textId="77777777" w:rsidR="00CB7716" w:rsidRPr="00B67B69" w:rsidRDefault="00CB7716" w:rsidP="00CB7716">
            <w:pPr>
              <w:spacing w:after="85"/>
              <w:rPr>
                <w:rFonts w:cs="Arial"/>
                <w:sz w:val="20"/>
                <w:szCs w:val="20"/>
                <w:lang w:val="en-AU"/>
              </w:rPr>
            </w:pPr>
            <w:r w:rsidRPr="00B67B69">
              <w:rPr>
                <w:rFonts w:cs="Arial"/>
                <w:sz w:val="20"/>
                <w:szCs w:val="20"/>
                <w:lang w:val="en-AU"/>
              </w:rPr>
              <w:t>Record requirements only for those handling raw egg – not all P1 and P2 businesses.</w:t>
            </w:r>
          </w:p>
          <w:p w14:paraId="7FE6E81C" w14:textId="77777777" w:rsidR="00CB7716" w:rsidRPr="00B67B69" w:rsidRDefault="00CB7716" w:rsidP="00CB7716">
            <w:pPr>
              <w:spacing w:after="85"/>
              <w:rPr>
                <w:rFonts w:cs="Arial"/>
                <w:sz w:val="20"/>
                <w:szCs w:val="20"/>
                <w:lang w:val="en-AU"/>
              </w:rPr>
            </w:pPr>
          </w:p>
        </w:tc>
        <w:tc>
          <w:tcPr>
            <w:tcW w:w="5355" w:type="dxa"/>
            <w:tcBorders>
              <w:top w:val="single" w:sz="4" w:space="0" w:color="auto"/>
              <w:left w:val="single" w:sz="4" w:space="0" w:color="auto"/>
              <w:bottom w:val="single" w:sz="4" w:space="0" w:color="auto"/>
              <w:right w:val="single" w:sz="4" w:space="0" w:color="auto"/>
            </w:tcBorders>
          </w:tcPr>
          <w:p w14:paraId="58636A57" w14:textId="77777777" w:rsidR="00CB7716" w:rsidRPr="00B67B69" w:rsidRDefault="00CB7716" w:rsidP="00CB7716">
            <w:pPr>
              <w:spacing w:after="85"/>
              <w:rPr>
                <w:rFonts w:cs="Arial"/>
                <w:sz w:val="20"/>
                <w:szCs w:val="20"/>
                <w:lang w:val="en-AU"/>
              </w:rPr>
            </w:pPr>
            <w:r w:rsidRPr="00B67B69">
              <w:rPr>
                <w:rFonts w:cs="Arial"/>
                <w:sz w:val="20"/>
                <w:szCs w:val="20"/>
                <w:lang w:val="en-AU"/>
              </w:rPr>
              <w:t>Medium to large gap depending on whether the business handles raw egg.</w:t>
            </w:r>
          </w:p>
          <w:p w14:paraId="78F3624B"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tc>
      </w:tr>
      <w:tr w:rsidR="00CB7716" w:rsidRPr="00745327" w14:paraId="18D709E5"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5154FDF9" w14:textId="77777777" w:rsidR="00CB7716" w:rsidRPr="00B67B69" w:rsidRDefault="00CB7716" w:rsidP="00CB7716">
            <w:pPr>
              <w:spacing w:after="85"/>
              <w:rPr>
                <w:rFonts w:cs="Arial"/>
                <w:sz w:val="20"/>
                <w:szCs w:val="20"/>
                <w:lang w:val="en-AU"/>
              </w:rPr>
            </w:pPr>
            <w:r w:rsidRPr="00B67B69">
              <w:rPr>
                <w:rFonts w:cs="Arial"/>
                <w:sz w:val="20"/>
                <w:szCs w:val="20"/>
                <w:lang w:val="en-AU"/>
              </w:rPr>
              <w:t>NT</w:t>
            </w:r>
          </w:p>
        </w:tc>
        <w:tc>
          <w:tcPr>
            <w:tcW w:w="3141" w:type="dxa"/>
            <w:tcBorders>
              <w:top w:val="single" w:sz="4" w:space="0" w:color="auto"/>
              <w:left w:val="single" w:sz="4" w:space="0" w:color="auto"/>
              <w:bottom w:val="single" w:sz="4" w:space="0" w:color="auto"/>
              <w:right w:val="single" w:sz="4" w:space="0" w:color="auto"/>
            </w:tcBorders>
          </w:tcPr>
          <w:p w14:paraId="44A01E50"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tc>
        <w:tc>
          <w:tcPr>
            <w:tcW w:w="5355" w:type="dxa"/>
            <w:tcBorders>
              <w:top w:val="single" w:sz="4" w:space="0" w:color="auto"/>
              <w:left w:val="single" w:sz="4" w:space="0" w:color="auto"/>
              <w:bottom w:val="single" w:sz="4" w:space="0" w:color="auto"/>
              <w:right w:val="single" w:sz="4" w:space="0" w:color="auto"/>
            </w:tcBorders>
          </w:tcPr>
          <w:p w14:paraId="4DB7A945"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19E59D7A"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tc>
      </w:tr>
      <w:tr w:rsidR="00CB7716" w:rsidRPr="00745327" w14:paraId="50E9F2F9"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0CA34EFE" w14:textId="77777777" w:rsidR="00CB7716" w:rsidRPr="00B67B69" w:rsidRDefault="00CB7716" w:rsidP="00CB7716">
            <w:pPr>
              <w:spacing w:after="85"/>
              <w:rPr>
                <w:rFonts w:cs="Arial"/>
                <w:sz w:val="20"/>
                <w:szCs w:val="20"/>
                <w:lang w:val="en-AU"/>
              </w:rPr>
            </w:pPr>
            <w:r w:rsidRPr="00B67B69">
              <w:rPr>
                <w:rFonts w:cs="Arial"/>
                <w:sz w:val="20"/>
                <w:szCs w:val="20"/>
                <w:lang w:val="en-AU"/>
              </w:rPr>
              <w:t>Queensland</w:t>
            </w:r>
          </w:p>
        </w:tc>
        <w:tc>
          <w:tcPr>
            <w:tcW w:w="3141" w:type="dxa"/>
            <w:tcBorders>
              <w:top w:val="single" w:sz="4" w:space="0" w:color="auto"/>
              <w:left w:val="single" w:sz="4" w:space="0" w:color="auto"/>
              <w:bottom w:val="single" w:sz="4" w:space="0" w:color="auto"/>
              <w:right w:val="single" w:sz="4" w:space="0" w:color="auto"/>
            </w:tcBorders>
          </w:tcPr>
          <w:p w14:paraId="701A0D9C" w14:textId="77777777" w:rsidR="00CB7716" w:rsidRPr="00B67B69" w:rsidRDefault="00CB7716" w:rsidP="00CB7716">
            <w:pPr>
              <w:spacing w:after="85"/>
              <w:rPr>
                <w:rFonts w:cs="Arial"/>
                <w:sz w:val="20"/>
                <w:szCs w:val="20"/>
                <w:lang w:val="en-AU"/>
              </w:rPr>
            </w:pPr>
            <w:r w:rsidRPr="00B67B69">
              <w:rPr>
                <w:rFonts w:cs="Arial"/>
                <w:sz w:val="20"/>
                <w:szCs w:val="20"/>
                <w:lang w:val="en-AU"/>
              </w:rPr>
              <w:t>Caterers are required to operate with a FSP, including record keeping requirements – not all P1 and P2 businesses.</w:t>
            </w:r>
          </w:p>
          <w:p w14:paraId="32890160" w14:textId="77777777" w:rsidR="00CB7716" w:rsidRPr="00B67B69" w:rsidRDefault="00CB7716" w:rsidP="00CB7716">
            <w:pPr>
              <w:spacing w:after="85"/>
              <w:rPr>
                <w:rFonts w:cs="Arial"/>
                <w:sz w:val="20"/>
                <w:szCs w:val="20"/>
                <w:lang w:val="en-AU"/>
              </w:rPr>
            </w:pPr>
          </w:p>
        </w:tc>
        <w:tc>
          <w:tcPr>
            <w:tcW w:w="5355" w:type="dxa"/>
            <w:tcBorders>
              <w:top w:val="single" w:sz="4" w:space="0" w:color="auto"/>
              <w:left w:val="single" w:sz="4" w:space="0" w:color="auto"/>
              <w:bottom w:val="single" w:sz="4" w:space="0" w:color="auto"/>
              <w:right w:val="single" w:sz="4" w:space="0" w:color="auto"/>
            </w:tcBorders>
          </w:tcPr>
          <w:p w14:paraId="4D068256" w14:textId="77777777" w:rsidR="00CB7716" w:rsidRPr="00B67B69" w:rsidRDefault="00CB7716" w:rsidP="00CB7716">
            <w:pPr>
              <w:spacing w:after="85"/>
              <w:rPr>
                <w:rFonts w:cs="Arial"/>
                <w:sz w:val="20"/>
                <w:szCs w:val="20"/>
                <w:lang w:val="en-AU"/>
              </w:rPr>
            </w:pPr>
            <w:r w:rsidRPr="00B67B69">
              <w:rPr>
                <w:rFonts w:cs="Arial"/>
                <w:sz w:val="20"/>
                <w:szCs w:val="20"/>
                <w:lang w:val="en-AU"/>
              </w:rPr>
              <w:t>Medium gap.</w:t>
            </w:r>
          </w:p>
          <w:p w14:paraId="0DC2FB81"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p w14:paraId="0C374AAD" w14:textId="77777777" w:rsidR="00CB7716" w:rsidRPr="00B67B69" w:rsidRDefault="00CB7716" w:rsidP="00CB7716">
            <w:pPr>
              <w:spacing w:after="85"/>
              <w:rPr>
                <w:rFonts w:cs="Arial"/>
                <w:sz w:val="20"/>
                <w:szCs w:val="20"/>
                <w:lang w:val="en-AU"/>
              </w:rPr>
            </w:pPr>
            <w:r w:rsidRPr="00B67B69">
              <w:rPr>
                <w:rFonts w:cs="Arial"/>
                <w:sz w:val="20"/>
                <w:szCs w:val="20"/>
                <w:lang w:val="en-AU"/>
              </w:rPr>
              <w:t>Gap for some P1 that don’t meet caterer definition (frequency or number of people).</w:t>
            </w:r>
          </w:p>
          <w:p w14:paraId="403874E9" w14:textId="77777777" w:rsidR="00CB7716" w:rsidRPr="00B67B69" w:rsidRDefault="00CB7716" w:rsidP="00CB7716">
            <w:pPr>
              <w:spacing w:after="85"/>
              <w:rPr>
                <w:rFonts w:cs="Arial"/>
                <w:sz w:val="20"/>
                <w:szCs w:val="20"/>
                <w:lang w:val="en-AU"/>
              </w:rPr>
            </w:pPr>
            <w:r w:rsidRPr="00B67B69">
              <w:rPr>
                <w:rFonts w:cs="Arial"/>
                <w:sz w:val="20"/>
                <w:szCs w:val="20"/>
                <w:lang w:val="en-AU"/>
              </w:rPr>
              <w:t>Gap for P2 businesses.</w:t>
            </w:r>
          </w:p>
        </w:tc>
      </w:tr>
      <w:tr w:rsidR="00CB7716" w:rsidRPr="00745327" w14:paraId="075491FC"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3A1B1C9D" w14:textId="77777777" w:rsidR="00CB7716" w:rsidRPr="00B67B69" w:rsidRDefault="00CB7716" w:rsidP="00CB7716">
            <w:pPr>
              <w:spacing w:after="85"/>
              <w:rPr>
                <w:rFonts w:cs="Arial"/>
                <w:sz w:val="20"/>
                <w:szCs w:val="20"/>
                <w:lang w:val="en-AU"/>
              </w:rPr>
            </w:pPr>
            <w:r w:rsidRPr="00B67B69">
              <w:rPr>
                <w:rFonts w:cs="Arial"/>
                <w:sz w:val="20"/>
                <w:szCs w:val="20"/>
                <w:lang w:val="en-AU"/>
              </w:rPr>
              <w:t>SA</w:t>
            </w:r>
          </w:p>
        </w:tc>
        <w:tc>
          <w:tcPr>
            <w:tcW w:w="3141" w:type="dxa"/>
            <w:tcBorders>
              <w:top w:val="single" w:sz="4" w:space="0" w:color="auto"/>
              <w:left w:val="single" w:sz="4" w:space="0" w:color="auto"/>
              <w:bottom w:val="single" w:sz="4" w:space="0" w:color="auto"/>
              <w:right w:val="single" w:sz="4" w:space="0" w:color="auto"/>
            </w:tcBorders>
          </w:tcPr>
          <w:p w14:paraId="3D258AED"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p w14:paraId="644F8268"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 </w:t>
            </w:r>
          </w:p>
        </w:tc>
        <w:tc>
          <w:tcPr>
            <w:tcW w:w="5355" w:type="dxa"/>
            <w:tcBorders>
              <w:top w:val="single" w:sz="4" w:space="0" w:color="auto"/>
              <w:left w:val="single" w:sz="4" w:space="0" w:color="auto"/>
              <w:bottom w:val="single" w:sz="4" w:space="0" w:color="auto"/>
              <w:right w:val="single" w:sz="4" w:space="0" w:color="auto"/>
            </w:tcBorders>
          </w:tcPr>
          <w:p w14:paraId="594AC797"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24D7D6B5"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All in-scope businesses to keep evidence substantiating the food safety management of key food handling processes. </w:t>
            </w:r>
          </w:p>
        </w:tc>
      </w:tr>
      <w:tr w:rsidR="00CB7716" w:rsidRPr="00745327" w14:paraId="5F8BA88D"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527114D0" w14:textId="77777777" w:rsidR="00CB7716" w:rsidRPr="00B67B69" w:rsidRDefault="00CB7716" w:rsidP="00CB7716">
            <w:pPr>
              <w:spacing w:after="85"/>
              <w:rPr>
                <w:rFonts w:cs="Arial"/>
                <w:sz w:val="20"/>
                <w:szCs w:val="20"/>
                <w:lang w:val="en-AU"/>
              </w:rPr>
            </w:pPr>
            <w:r w:rsidRPr="00B67B69">
              <w:rPr>
                <w:rFonts w:cs="Arial"/>
                <w:sz w:val="20"/>
                <w:szCs w:val="20"/>
                <w:lang w:val="en-AU"/>
              </w:rPr>
              <w:t>Tasmania</w:t>
            </w:r>
          </w:p>
        </w:tc>
        <w:tc>
          <w:tcPr>
            <w:tcW w:w="3141" w:type="dxa"/>
            <w:tcBorders>
              <w:top w:val="single" w:sz="4" w:space="0" w:color="auto"/>
              <w:left w:val="single" w:sz="4" w:space="0" w:color="auto"/>
              <w:bottom w:val="single" w:sz="4" w:space="0" w:color="auto"/>
              <w:right w:val="single" w:sz="4" w:space="0" w:color="auto"/>
            </w:tcBorders>
          </w:tcPr>
          <w:p w14:paraId="5738461B"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p w14:paraId="24E64BC8" w14:textId="77777777" w:rsidR="00CB7716" w:rsidRPr="00B67B69" w:rsidRDefault="00CB7716" w:rsidP="00CB7716">
            <w:pPr>
              <w:spacing w:after="85"/>
              <w:rPr>
                <w:rFonts w:cs="Arial"/>
                <w:sz w:val="20"/>
                <w:szCs w:val="20"/>
                <w:lang w:val="en-AU"/>
              </w:rPr>
            </w:pPr>
          </w:p>
        </w:tc>
        <w:tc>
          <w:tcPr>
            <w:tcW w:w="5355" w:type="dxa"/>
            <w:tcBorders>
              <w:top w:val="single" w:sz="4" w:space="0" w:color="auto"/>
              <w:left w:val="single" w:sz="4" w:space="0" w:color="auto"/>
              <w:bottom w:val="single" w:sz="4" w:space="0" w:color="auto"/>
              <w:right w:val="single" w:sz="4" w:space="0" w:color="auto"/>
            </w:tcBorders>
          </w:tcPr>
          <w:p w14:paraId="31F6068F"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466659B1" w14:textId="77777777" w:rsidR="00CB7716" w:rsidRPr="00B67B69" w:rsidRDefault="00CB7716" w:rsidP="00CB7716">
            <w:pPr>
              <w:spacing w:after="85"/>
              <w:rPr>
                <w:rFonts w:cs="Arial"/>
                <w:sz w:val="20"/>
                <w:szCs w:val="20"/>
                <w:lang w:val="en-AU"/>
              </w:rPr>
            </w:pPr>
            <w:r w:rsidRPr="00B67B69">
              <w:rPr>
                <w:rFonts w:cs="Arial"/>
                <w:sz w:val="20"/>
                <w:szCs w:val="20"/>
                <w:lang w:val="en-AU"/>
              </w:rPr>
              <w:t>All in-scope businesses to keep evidence substantiating the food safety management of key food handling processes.</w:t>
            </w:r>
          </w:p>
        </w:tc>
      </w:tr>
      <w:tr w:rsidR="00CB7716" w:rsidRPr="00745327" w14:paraId="3E4B4208"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0BCE0D7B" w14:textId="77777777" w:rsidR="00CB7716" w:rsidRPr="00B67B69" w:rsidRDefault="00CB7716" w:rsidP="00CB7716">
            <w:pPr>
              <w:spacing w:after="85"/>
              <w:rPr>
                <w:rFonts w:cs="Arial"/>
                <w:sz w:val="20"/>
                <w:szCs w:val="20"/>
                <w:lang w:val="en-AU"/>
              </w:rPr>
            </w:pPr>
            <w:r w:rsidRPr="00B67B69">
              <w:rPr>
                <w:rFonts w:cs="Arial"/>
                <w:sz w:val="20"/>
                <w:szCs w:val="20"/>
                <w:lang w:val="en-AU"/>
              </w:rPr>
              <w:t>Victoria</w:t>
            </w:r>
          </w:p>
        </w:tc>
        <w:tc>
          <w:tcPr>
            <w:tcW w:w="3141" w:type="dxa"/>
            <w:tcBorders>
              <w:top w:val="single" w:sz="4" w:space="0" w:color="auto"/>
              <w:left w:val="single" w:sz="4" w:space="0" w:color="auto"/>
              <w:bottom w:val="single" w:sz="4" w:space="0" w:color="auto"/>
              <w:right w:val="single" w:sz="4" w:space="0" w:color="auto"/>
            </w:tcBorders>
          </w:tcPr>
          <w:p w14:paraId="7AE7DC81" w14:textId="77777777" w:rsidR="00CB7716" w:rsidRPr="00B67B69" w:rsidRDefault="00CB7716" w:rsidP="00CB7716">
            <w:pPr>
              <w:spacing w:after="85"/>
              <w:rPr>
                <w:rFonts w:cs="Arial"/>
                <w:sz w:val="20"/>
                <w:szCs w:val="20"/>
                <w:lang w:val="en-AU"/>
              </w:rPr>
            </w:pPr>
            <w:r w:rsidRPr="00B67B69">
              <w:rPr>
                <w:rFonts w:cs="Arial"/>
                <w:sz w:val="20"/>
                <w:szCs w:val="20"/>
                <w:lang w:val="en-AU"/>
              </w:rPr>
              <w:t xml:space="preserve">Class 1 businesses and Class 2 businesses are required to operate under a food safety </w:t>
            </w:r>
            <w:r w:rsidRPr="00B67B69">
              <w:rPr>
                <w:rFonts w:cs="Arial"/>
                <w:sz w:val="20"/>
                <w:szCs w:val="20"/>
                <w:lang w:val="en-AU"/>
              </w:rPr>
              <w:lastRenderedPageBreak/>
              <w:t>program – covers P1 and P2 in-scope businesses</w:t>
            </w:r>
          </w:p>
          <w:p w14:paraId="2C03433D" w14:textId="77777777" w:rsidR="00CB7716" w:rsidRPr="00B67B69" w:rsidRDefault="00CB7716" w:rsidP="00CB7716">
            <w:pPr>
              <w:spacing w:after="85"/>
              <w:rPr>
                <w:rFonts w:cs="Arial"/>
                <w:sz w:val="20"/>
                <w:szCs w:val="20"/>
                <w:lang w:val="en-AU"/>
              </w:rPr>
            </w:pPr>
            <w:r w:rsidRPr="00B67B69">
              <w:rPr>
                <w:rFonts w:cs="Arial"/>
                <w:sz w:val="20"/>
                <w:szCs w:val="20"/>
                <w:lang w:val="en-AU"/>
              </w:rPr>
              <w:t>Class 3</w:t>
            </w:r>
            <w:r w:rsidRPr="00B67B69">
              <w:rPr>
                <w:rStyle w:val="FootnoteReference"/>
                <w:rFonts w:cs="Arial"/>
                <w:sz w:val="20"/>
                <w:szCs w:val="20"/>
                <w:lang w:val="en-AU"/>
              </w:rPr>
              <w:footnoteReference w:id="36"/>
            </w:r>
            <w:r w:rsidRPr="00B67B69">
              <w:rPr>
                <w:rFonts w:cs="Arial"/>
                <w:sz w:val="20"/>
                <w:szCs w:val="20"/>
                <w:lang w:val="en-AU"/>
              </w:rPr>
              <w:t xml:space="preserve"> businesses are required to keep minimum records.</w:t>
            </w:r>
          </w:p>
        </w:tc>
        <w:tc>
          <w:tcPr>
            <w:tcW w:w="5355" w:type="dxa"/>
            <w:tcBorders>
              <w:top w:val="single" w:sz="4" w:space="0" w:color="auto"/>
              <w:left w:val="single" w:sz="4" w:space="0" w:color="auto"/>
              <w:bottom w:val="single" w:sz="4" w:space="0" w:color="auto"/>
              <w:right w:val="single" w:sz="4" w:space="0" w:color="auto"/>
            </w:tcBorders>
            <w:hideMark/>
          </w:tcPr>
          <w:p w14:paraId="1437571A" w14:textId="77777777" w:rsidR="00CB7716" w:rsidRPr="00B67B69" w:rsidRDefault="00CB7716" w:rsidP="00CB7716">
            <w:pPr>
              <w:spacing w:after="85"/>
              <w:rPr>
                <w:rFonts w:cs="Arial"/>
                <w:sz w:val="20"/>
                <w:szCs w:val="20"/>
              </w:rPr>
            </w:pPr>
            <w:r w:rsidRPr="00B67B69">
              <w:rPr>
                <w:rFonts w:cs="Arial"/>
                <w:sz w:val="20"/>
                <w:szCs w:val="20"/>
              </w:rPr>
              <w:lastRenderedPageBreak/>
              <w:t>Reduction in regulatory requirements likely</w:t>
            </w:r>
          </w:p>
          <w:p w14:paraId="2A152F0D" w14:textId="77777777" w:rsidR="00CB7716" w:rsidRPr="00B67B69" w:rsidRDefault="00CB7716" w:rsidP="00CB7716">
            <w:pPr>
              <w:spacing w:after="85"/>
              <w:rPr>
                <w:rFonts w:cs="Arial"/>
                <w:sz w:val="20"/>
                <w:szCs w:val="20"/>
              </w:rPr>
            </w:pPr>
            <w:r w:rsidRPr="00B67B69">
              <w:rPr>
                <w:rFonts w:cs="Arial"/>
                <w:sz w:val="20"/>
                <w:szCs w:val="20"/>
              </w:rPr>
              <w:t xml:space="preserve">Most class 2 food service and retail premises will not be </w:t>
            </w:r>
            <w:r w:rsidRPr="00B67B69">
              <w:rPr>
                <w:rFonts w:cs="Arial"/>
                <w:sz w:val="20"/>
                <w:szCs w:val="20"/>
              </w:rPr>
              <w:lastRenderedPageBreak/>
              <w:t>required to have an FSP.</w:t>
            </w:r>
          </w:p>
          <w:p w14:paraId="09BADED1" w14:textId="77777777" w:rsidR="00CB7716" w:rsidRPr="00B67B69" w:rsidRDefault="00CB7716" w:rsidP="00CB7716">
            <w:pPr>
              <w:spacing w:after="85"/>
              <w:rPr>
                <w:rFonts w:cs="Arial"/>
                <w:sz w:val="20"/>
                <w:szCs w:val="20"/>
              </w:rPr>
            </w:pPr>
            <w:r w:rsidRPr="00B67B69">
              <w:rPr>
                <w:rFonts w:cs="Arial"/>
                <w:sz w:val="20"/>
                <w:szCs w:val="20"/>
              </w:rPr>
              <w:t xml:space="preserve">Class 3 would not be required to keep minimum records, </w:t>
            </w:r>
          </w:p>
          <w:p w14:paraId="6102AA47" w14:textId="77777777" w:rsidR="00CB7716" w:rsidRPr="00B67B69" w:rsidRDefault="00CB7716" w:rsidP="00CB7716">
            <w:pPr>
              <w:spacing w:after="85"/>
              <w:rPr>
                <w:rFonts w:cs="Arial"/>
                <w:sz w:val="20"/>
                <w:szCs w:val="20"/>
              </w:rPr>
            </w:pPr>
            <w:r w:rsidRPr="00B67B69">
              <w:rPr>
                <w:rFonts w:cs="Arial"/>
                <w:sz w:val="20"/>
                <w:szCs w:val="20"/>
              </w:rPr>
              <w:t>Instead, these businesses could keep evidence substantiating the food safety management of key food handling processes.</w:t>
            </w:r>
          </w:p>
        </w:tc>
      </w:tr>
      <w:tr w:rsidR="00CB7716" w:rsidRPr="00745327" w14:paraId="3AA532FD" w14:textId="77777777" w:rsidTr="3C0957AF">
        <w:tc>
          <w:tcPr>
            <w:tcW w:w="1410" w:type="dxa"/>
            <w:tcBorders>
              <w:top w:val="single" w:sz="4" w:space="0" w:color="auto"/>
              <w:left w:val="single" w:sz="4" w:space="0" w:color="auto"/>
              <w:bottom w:val="single" w:sz="4" w:space="0" w:color="auto"/>
              <w:right w:val="single" w:sz="4" w:space="0" w:color="auto"/>
            </w:tcBorders>
            <w:hideMark/>
          </w:tcPr>
          <w:p w14:paraId="6830F762" w14:textId="77777777" w:rsidR="00CB7716" w:rsidRPr="00B67B69" w:rsidRDefault="00CB7716" w:rsidP="00CB7716">
            <w:pPr>
              <w:spacing w:after="85"/>
              <w:rPr>
                <w:rFonts w:cs="Arial"/>
                <w:sz w:val="20"/>
                <w:szCs w:val="20"/>
                <w:lang w:val="en-AU"/>
              </w:rPr>
            </w:pPr>
            <w:r w:rsidRPr="00B67B69">
              <w:rPr>
                <w:rFonts w:cs="Arial"/>
                <w:sz w:val="20"/>
                <w:szCs w:val="20"/>
                <w:lang w:val="en-AU"/>
              </w:rPr>
              <w:lastRenderedPageBreak/>
              <w:t>WA</w:t>
            </w:r>
          </w:p>
        </w:tc>
        <w:tc>
          <w:tcPr>
            <w:tcW w:w="3141" w:type="dxa"/>
            <w:tcBorders>
              <w:top w:val="single" w:sz="4" w:space="0" w:color="auto"/>
              <w:left w:val="single" w:sz="4" w:space="0" w:color="auto"/>
              <w:bottom w:val="single" w:sz="4" w:space="0" w:color="auto"/>
              <w:right w:val="single" w:sz="4" w:space="0" w:color="auto"/>
            </w:tcBorders>
          </w:tcPr>
          <w:p w14:paraId="398F5992" w14:textId="77777777" w:rsidR="00CB7716" w:rsidRPr="00B67B69" w:rsidRDefault="00CB7716" w:rsidP="00CB7716">
            <w:pPr>
              <w:spacing w:after="85"/>
              <w:rPr>
                <w:rFonts w:cs="Arial"/>
                <w:sz w:val="20"/>
                <w:szCs w:val="20"/>
                <w:lang w:val="en-AU"/>
              </w:rPr>
            </w:pPr>
            <w:r w:rsidRPr="00B67B69">
              <w:rPr>
                <w:rFonts w:cs="Arial"/>
                <w:sz w:val="20"/>
                <w:szCs w:val="20"/>
                <w:lang w:val="en-AU"/>
              </w:rPr>
              <w:t>No requirements for in-scope business sectors.</w:t>
            </w:r>
          </w:p>
        </w:tc>
        <w:tc>
          <w:tcPr>
            <w:tcW w:w="5355" w:type="dxa"/>
            <w:tcBorders>
              <w:top w:val="single" w:sz="4" w:space="0" w:color="auto"/>
              <w:left w:val="single" w:sz="4" w:space="0" w:color="auto"/>
              <w:bottom w:val="single" w:sz="4" w:space="0" w:color="auto"/>
              <w:right w:val="single" w:sz="4" w:space="0" w:color="auto"/>
            </w:tcBorders>
          </w:tcPr>
          <w:p w14:paraId="4B6C1041" w14:textId="77777777" w:rsidR="00CB7716" w:rsidRPr="00B67B69" w:rsidRDefault="00CB7716" w:rsidP="00CB7716">
            <w:pPr>
              <w:spacing w:after="85"/>
              <w:rPr>
                <w:rFonts w:cs="Arial"/>
                <w:sz w:val="20"/>
                <w:szCs w:val="20"/>
                <w:lang w:val="en-AU"/>
              </w:rPr>
            </w:pPr>
            <w:r w:rsidRPr="00B67B69">
              <w:rPr>
                <w:rFonts w:cs="Arial"/>
                <w:sz w:val="20"/>
                <w:szCs w:val="20"/>
                <w:lang w:val="en-AU"/>
              </w:rPr>
              <w:t>Large gap.</w:t>
            </w:r>
          </w:p>
          <w:p w14:paraId="0BB85BC4" w14:textId="77777777" w:rsidR="00CB7716" w:rsidRPr="00B67B69" w:rsidRDefault="00CB7716" w:rsidP="00CB7716">
            <w:pPr>
              <w:spacing w:after="85"/>
              <w:rPr>
                <w:rFonts w:cs="Arial"/>
                <w:sz w:val="20"/>
                <w:szCs w:val="20"/>
                <w:lang w:val="en-AU"/>
              </w:rPr>
            </w:pPr>
            <w:r w:rsidRPr="00B67B69">
              <w:rPr>
                <w:rFonts w:cs="Arial"/>
                <w:sz w:val="20"/>
                <w:szCs w:val="20"/>
                <w:lang w:val="en-AU"/>
              </w:rPr>
              <w:t>All in-scope P1 and P2 businesses would be required to have evidence to substantiate key processes are safely managed.</w:t>
            </w:r>
          </w:p>
        </w:tc>
      </w:tr>
    </w:tbl>
    <w:p w14:paraId="6EA1E402" w14:textId="77777777" w:rsidR="00CB7716" w:rsidRDefault="00CB7716" w:rsidP="00CB7716">
      <w:pPr>
        <w:rPr>
          <w:sz w:val="20"/>
          <w:szCs w:val="20"/>
        </w:rPr>
      </w:pPr>
      <w:r w:rsidRPr="68C0CA2D">
        <w:rPr>
          <w:sz w:val="20"/>
          <w:szCs w:val="20"/>
        </w:rPr>
        <w:t>FSC = Food Standards Code, FSP = food safety program, P1 and P2 = priority classifications under the national Risk Profiling Framework</w:t>
      </w:r>
    </w:p>
    <w:p w14:paraId="1E4C1294" w14:textId="77777777" w:rsidR="00B67B69" w:rsidRDefault="00B67B69" w:rsidP="006E77ED">
      <w:bookmarkStart w:id="312" w:name="_Toc87275054"/>
    </w:p>
    <w:p w14:paraId="53B5013C" w14:textId="69C0A378" w:rsidR="00CB7716" w:rsidRPr="00B67B69" w:rsidRDefault="00CB7716" w:rsidP="00B67B69">
      <w:pPr>
        <w:rPr>
          <w:b/>
          <w:i/>
        </w:rPr>
      </w:pPr>
      <w:r w:rsidRPr="00B67B69">
        <w:rPr>
          <w:b/>
          <w:i/>
        </w:rPr>
        <w:t>Implementation: E</w:t>
      </w:r>
      <w:bookmarkEnd w:id="312"/>
    </w:p>
    <w:p w14:paraId="61FD32D6" w14:textId="40F5D592" w:rsidR="00CB7716" w:rsidRDefault="00CB7716" w:rsidP="00B67B69">
      <w:pPr>
        <w:spacing w:after="240"/>
        <w:rPr>
          <w:lang w:eastAsia="en-AU"/>
        </w:rPr>
      </w:pPr>
      <w:r w:rsidRPr="68C0CA2D">
        <w:rPr>
          <w:rFonts w:cs="Arial"/>
        </w:rPr>
        <w:t>The proposed draft Standard 3.2.2A includes a clause (clause 12) on ‘substantiating food safety management of prescribed activities’, listing nine key processes (in subclause 4. ‘a’ to ‘</w:t>
      </w:r>
      <w:proofErr w:type="spellStart"/>
      <w:r w:rsidRPr="68C0CA2D">
        <w:rPr>
          <w:rFonts w:cs="Arial"/>
        </w:rPr>
        <w:t>i</w:t>
      </w:r>
      <w:proofErr w:type="spellEnd"/>
      <w:r w:rsidRPr="68C0CA2D">
        <w:rPr>
          <w:rFonts w:cs="Arial"/>
        </w:rPr>
        <w:t xml:space="preserve">’). </w:t>
      </w:r>
      <w:r w:rsidRPr="68C0CA2D">
        <w:rPr>
          <w:lang w:eastAsia="en-AU"/>
        </w:rPr>
        <w:t xml:space="preserve">FSANZ considers the key processes of temperature control, food processing, and cleaning and sanitising would be better managed by a business if they make a record or keep other evidence that critical controls are correctly in place. </w:t>
      </w:r>
    </w:p>
    <w:p w14:paraId="499425FE" w14:textId="04F73C55" w:rsidR="00CB7716" w:rsidRDefault="00CB7716" w:rsidP="00B67B69">
      <w:pPr>
        <w:spacing w:after="240"/>
        <w:rPr>
          <w:lang w:eastAsia="en-AU"/>
        </w:rPr>
      </w:pPr>
      <w:r w:rsidRPr="68C0CA2D">
        <w:rPr>
          <w:lang w:eastAsia="en-AU"/>
        </w:rPr>
        <w:t xml:space="preserve">Current non-regulatory guidance (i.e. </w:t>
      </w:r>
      <w:r w:rsidRPr="68C0CA2D">
        <w:rPr>
          <w:i/>
          <w:iCs/>
          <w:lang w:eastAsia="en-AU"/>
        </w:rPr>
        <w:t>Safe Food Australia</w:t>
      </w:r>
      <w:r w:rsidRPr="68C0CA2D">
        <w:rPr>
          <w:lang w:eastAsia="en-AU"/>
        </w:rPr>
        <w:t xml:space="preserve">) has not been effective in reducing foodborne illness in the food service setting. </w:t>
      </w:r>
    </w:p>
    <w:p w14:paraId="53824A7A" w14:textId="77777777" w:rsidR="00CB7716" w:rsidRDefault="00CB7716" w:rsidP="00B67B69">
      <w:pPr>
        <w:spacing w:after="240"/>
        <w:rPr>
          <w:lang w:eastAsia="en-AU"/>
        </w:rPr>
      </w:pPr>
      <w:r>
        <w:rPr>
          <w:lang w:eastAsia="en-AU"/>
        </w:rPr>
        <w:t xml:space="preserve">Guidance on record management is provided in the </w:t>
      </w:r>
      <w:r>
        <w:rPr>
          <w:i/>
          <w:lang w:val="en-AU"/>
        </w:rPr>
        <w:t xml:space="preserve">Archives Act 1983 </w:t>
      </w:r>
      <w:r>
        <w:rPr>
          <w:lang w:val="en-AU"/>
        </w:rPr>
        <w:t xml:space="preserve">explanatory memorandum. It states: </w:t>
      </w:r>
      <w:r>
        <w:rPr>
          <w:i/>
          <w:iCs/>
          <w:color w:val="000000"/>
        </w:rPr>
        <w:t>Both documents and objects can be records. A record does not have to be in a concrete form—it can be in any form, including an electronic form. A record can include a photograph, film, map, plan, model or painting. It can also include a sound recording, coded storage device, magnetic tape or disc, microform, and more modern technologies such as digital video discs and compact discs. Other examples of records in electronic form are emails, Internet sites, case management systems, financial accounting systems, inventory management and procurement systems, personnel management and HR systems, building management and access control systems and geographical systems.</w:t>
      </w:r>
    </w:p>
    <w:p w14:paraId="487015EB" w14:textId="3E90EA7C" w:rsidR="00CB7716" w:rsidRDefault="00CB7716" w:rsidP="00B67B69">
      <w:pPr>
        <w:spacing w:after="240"/>
      </w:pPr>
      <w:r>
        <w:t>FSANZ recognises there may be scenarios where making a record is not the most effective approach to enhance a business’s food safety management and for example, staff demonstrating to regulators on-site</w:t>
      </w:r>
      <w:r w:rsidRPr="68C0CA2D">
        <w:rPr>
          <w:i/>
          <w:iCs/>
        </w:rPr>
        <w:t xml:space="preserve"> </w:t>
      </w:r>
      <w:r>
        <w:t>how they implement SOPs may be another means of sufficient evidence (case studies and examples are provided in section 8). While we have identified the key processes,</w:t>
      </w:r>
      <w:r w:rsidDel="00AF04C6">
        <w:t xml:space="preserve"> </w:t>
      </w:r>
      <w:r>
        <w:t>food safety management is multifaceted and needs to be tailored for each business. A flexible approach is needed, to facilitate risk-based application within the context of the business.</w:t>
      </w:r>
    </w:p>
    <w:p w14:paraId="61CADF78" w14:textId="2E22FBD1" w:rsidR="00B67B69" w:rsidRPr="00B67B69" w:rsidRDefault="00CB7716" w:rsidP="00B67B69">
      <w:pPr>
        <w:spacing w:after="240"/>
        <w:rPr>
          <w:lang w:val="en-AU" w:eastAsia="zh-CN"/>
        </w:rPr>
      </w:pPr>
      <w:r w:rsidRPr="68C0CA2D">
        <w:rPr>
          <w:lang w:val="en-AU" w:eastAsia="zh-CN"/>
        </w:rPr>
        <w:t xml:space="preserve">The scale and nature of food handling, and existing systems within a business should be considered by an authorised officer when determining compliance with the proposed measure. Examples are given in the </w:t>
      </w:r>
      <w:r>
        <w:rPr>
          <w:lang w:val="en-AU" w:eastAsia="zh-CN"/>
        </w:rPr>
        <w:t xml:space="preserve">draft </w:t>
      </w:r>
      <w:r w:rsidRPr="68C0CA2D">
        <w:rPr>
          <w:lang w:val="en-AU" w:eastAsia="zh-CN"/>
        </w:rPr>
        <w:t>implementation guidance</w:t>
      </w:r>
      <w:r>
        <w:rPr>
          <w:rStyle w:val="FootnoteReference"/>
          <w:lang w:val="en-AU" w:eastAsia="zh-CN"/>
        </w:rPr>
        <w:footnoteReference w:id="37"/>
      </w:r>
      <w:r w:rsidRPr="68C0CA2D">
        <w:rPr>
          <w:lang w:val="en-AU" w:eastAsia="zh-CN"/>
        </w:rPr>
        <w:t xml:space="preserve"> to provide context.</w:t>
      </w:r>
    </w:p>
    <w:p w14:paraId="67A11E26" w14:textId="3F1B007E" w:rsidR="00CB7716" w:rsidRDefault="00CB7716" w:rsidP="0025246D">
      <w:pPr>
        <w:pStyle w:val="Heading3"/>
        <w:numPr>
          <w:ilvl w:val="0"/>
          <w:numId w:val="0"/>
        </w:numPr>
        <w:ind w:left="720" w:hanging="720"/>
      </w:pPr>
      <w:bookmarkStart w:id="313" w:name="_Toc104808609"/>
      <w:bookmarkStart w:id="314" w:name="_Toc107412693"/>
      <w:bookmarkStart w:id="315" w:name="_Toc109300454"/>
      <w:r w:rsidRPr="004B3692">
        <w:lastRenderedPageBreak/>
        <w:t>4.</w:t>
      </w:r>
      <w:r>
        <w:t>5</w:t>
      </w:r>
      <w:r>
        <w:tab/>
      </w:r>
      <w:r w:rsidRPr="004B3692">
        <w:t>Cost and benefits</w:t>
      </w:r>
      <w:bookmarkEnd w:id="313"/>
      <w:bookmarkEnd w:id="314"/>
      <w:bookmarkEnd w:id="315"/>
      <w:r w:rsidRPr="00B916D2">
        <w:t xml:space="preserve"> </w:t>
      </w:r>
    </w:p>
    <w:p w14:paraId="2B0E9875" w14:textId="77777777" w:rsidR="00CB7716" w:rsidRDefault="00CB7716" w:rsidP="0025246D">
      <w:pPr>
        <w:pStyle w:val="Heading4"/>
        <w:numPr>
          <w:ilvl w:val="0"/>
          <w:numId w:val="0"/>
        </w:numPr>
        <w:ind w:left="864" w:hanging="864"/>
      </w:pPr>
      <w:bookmarkStart w:id="316" w:name="_Toc107412694"/>
      <w:r w:rsidRPr="004B3692">
        <w:t>4.</w:t>
      </w:r>
      <w:r>
        <w:t>5.1</w:t>
      </w:r>
      <w:r>
        <w:tab/>
      </w:r>
      <w:r w:rsidRPr="004B3692">
        <w:t>Introduction</w:t>
      </w:r>
      <w:bookmarkEnd w:id="316"/>
    </w:p>
    <w:p w14:paraId="69FB959F" w14:textId="2A6660AC" w:rsidR="00CB7716" w:rsidRDefault="00CB7716" w:rsidP="00B67B69">
      <w:pPr>
        <w:spacing w:after="240"/>
      </w:pPr>
      <w:r>
        <w:t xml:space="preserve">To compare potential options, FSANZ completed a quantitative analysis, assessed where available, qualitative costs and benefits, and considered the appropriateness of each proposed regulatory tool. Our analysis compared the direct benefits to the community that may be achieved from a reduction in foodborne illness, against the costs of the different options to industry and government. </w:t>
      </w:r>
    </w:p>
    <w:p w14:paraId="73A7DBC9" w14:textId="709D76A2" w:rsidR="00CB7716" w:rsidRDefault="00CB7716" w:rsidP="00B67B69">
      <w:pPr>
        <w:spacing w:after="240"/>
      </w:pPr>
      <w:r>
        <w:t>This DRIS relied on the best available information. However, data gaps remain and certain assumptions have been needed. These gaps and assumptions are clearly identified in the analysis. Further feedback was sought through the CRIS, with stakeholders asked for any information, data or studies to improve the quality of the cost–benefit analysis–to support, change or replace any of the assumptions or estimates that have been used. Limited information and data was provided, and no data materially changed the analysis. Some revisions were made to the potential costs of illness as a result of receiving final cost estimates from the ANU in a separate research project (Glass et al., 2022).</w:t>
      </w:r>
    </w:p>
    <w:p w14:paraId="6EB0E1FB" w14:textId="77777777" w:rsidR="00A94813" w:rsidRDefault="00CB7716" w:rsidP="00B67B69">
      <w:pPr>
        <w:spacing w:after="240"/>
      </w:pPr>
      <w:r w:rsidRPr="00C4234E">
        <w:rPr>
          <w:rFonts w:cs="Arial"/>
          <w:lang w:val="en-AU"/>
        </w:rPr>
        <w:t>When developing its cost and benefit estimates,</w:t>
      </w:r>
      <w:r>
        <w:rPr>
          <w:rFonts w:cs="Arial"/>
          <w:lang w:val="en-AU"/>
        </w:rPr>
        <w:t xml:space="preserve"> FSANZ had regard to costs to government to implement and enforce the legislative options, using the draft implementation guide. How the approved draft standards are implemented remains a matter for the jurisdictions to determine. </w:t>
      </w:r>
      <w:r>
        <w:t>The</w:t>
      </w:r>
      <w:r w:rsidRPr="009927A9">
        <w:t xml:space="preserve"> assumpti</w:t>
      </w:r>
      <w:r>
        <w:t xml:space="preserve">on used in this analysis is that overall impacts will be cost-neutral to government. </w:t>
      </w:r>
      <w:r w:rsidRPr="25DEA6C8">
        <w:t xml:space="preserve">Some submissions indicated that FSANZ may have underestimated the administrative burden on local government. However other submissions indicated that while administration may increase initially this would be offset over time by a reduction in foodborne illness investigation resources and improvements in food safety culture and compliance. On balance, this information has not changed the outcomes of our analysis. </w:t>
      </w:r>
    </w:p>
    <w:p w14:paraId="09A7A4DC" w14:textId="29279471" w:rsidR="00CB7716" w:rsidRDefault="00CB7716" w:rsidP="00B67B69">
      <w:pPr>
        <w:spacing w:after="240"/>
        <w:rPr>
          <w:rFonts w:cs="Arial"/>
          <w:lang w:val="en-AU"/>
        </w:rPr>
      </w:pPr>
      <w:r>
        <w:t xml:space="preserve">These tools will assist government with risk-based regulatory inspection, ensuring that all information is available to an EHO to assess food handling activities within a business. </w:t>
      </w:r>
      <w:r>
        <w:rPr>
          <w:rFonts w:cs="Arial"/>
          <w:lang w:val="en-AU"/>
        </w:rPr>
        <w:t>FSANZ’s understanding is that jurisdictions have committed to working towards national consistency and sharing resources.</w:t>
      </w:r>
    </w:p>
    <w:p w14:paraId="55443B52" w14:textId="06C9C8CC" w:rsidR="00A94813" w:rsidRPr="00103604" w:rsidRDefault="00CB7716" w:rsidP="00B67B69">
      <w:pPr>
        <w:spacing w:after="240"/>
        <w:rPr>
          <w:b/>
          <w:bCs/>
          <w:i/>
          <w:iCs/>
        </w:rPr>
      </w:pPr>
      <w:r>
        <w:t>Any additional regulation is likely to impact food businesses, consumers and governments, as listed in Table 6.</w:t>
      </w:r>
    </w:p>
    <w:p w14:paraId="77477808" w14:textId="77777777" w:rsidR="00CB7716" w:rsidRPr="00536BB8" w:rsidRDefault="00CB7716" w:rsidP="00CB7716">
      <w:pPr>
        <w:pStyle w:val="Caption"/>
        <w:keepNext/>
        <w:rPr>
          <w:b/>
          <w:color w:val="auto"/>
          <w:sz w:val="20"/>
          <w:szCs w:val="20"/>
        </w:rPr>
      </w:pPr>
      <w:r w:rsidRPr="00536BB8">
        <w:rPr>
          <w:b/>
          <w:color w:val="auto"/>
          <w:sz w:val="20"/>
          <w:szCs w:val="20"/>
        </w:rPr>
        <w:t>Table 6: Major impacts of regulation, by social group</w:t>
      </w:r>
    </w:p>
    <w:tbl>
      <w:tblPr>
        <w:tblStyle w:val="GridTable1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3"/>
      </w:tblGrid>
      <w:tr w:rsidR="00CB7716" w:rsidRPr="00103604" w14:paraId="652AD2DB" w14:textId="77777777" w:rsidTr="00E861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tcPr>
          <w:p w14:paraId="0BD4D54D" w14:textId="77777777" w:rsidR="00CB7716" w:rsidRPr="00103604" w:rsidRDefault="00CB7716" w:rsidP="00CB7716">
            <w:r w:rsidRPr="00103604">
              <w:t xml:space="preserve">Social group </w:t>
            </w:r>
          </w:p>
        </w:tc>
        <w:tc>
          <w:tcPr>
            <w:tcW w:w="6373" w:type="dxa"/>
          </w:tcPr>
          <w:p w14:paraId="7F07B154" w14:textId="77777777" w:rsidR="00CB7716" w:rsidRPr="00103604" w:rsidRDefault="00CB7716" w:rsidP="00CB7716">
            <w:pPr>
              <w:ind w:firstLine="127"/>
              <w:cnfStyle w:val="100000000000" w:firstRow="1" w:lastRow="0" w:firstColumn="0" w:lastColumn="0" w:oddVBand="0" w:evenVBand="0" w:oddHBand="0" w:evenHBand="0" w:firstRowFirstColumn="0" w:firstRowLastColumn="0" w:lastRowFirstColumn="0" w:lastRowLastColumn="0"/>
            </w:pPr>
            <w:r w:rsidRPr="00103604">
              <w:t>Notes on impacts</w:t>
            </w:r>
          </w:p>
        </w:tc>
      </w:tr>
      <w:tr w:rsidR="00CB7716" w:rsidRPr="00103604" w14:paraId="5A5BF92C" w14:textId="77777777" w:rsidTr="00E86163">
        <w:tc>
          <w:tcPr>
            <w:cnfStyle w:val="001000000000" w:firstRow="0" w:lastRow="0" w:firstColumn="1" w:lastColumn="0" w:oddVBand="0" w:evenVBand="0" w:oddHBand="0" w:evenHBand="0" w:firstRowFirstColumn="0" w:firstRowLastColumn="0" w:lastRowFirstColumn="0" w:lastRowLastColumn="0"/>
            <w:tcW w:w="2694" w:type="dxa"/>
          </w:tcPr>
          <w:p w14:paraId="36E818C4" w14:textId="77777777" w:rsidR="00CB7716" w:rsidRPr="00103604" w:rsidRDefault="00CB7716" w:rsidP="00CB7716">
            <w:pPr>
              <w:rPr>
                <w:b w:val="0"/>
              </w:rPr>
            </w:pPr>
            <w:r w:rsidRPr="00103604">
              <w:rPr>
                <w:b w:val="0"/>
              </w:rPr>
              <w:t xml:space="preserve">1. </w:t>
            </w:r>
            <w:r>
              <w:rPr>
                <w:b w:val="0"/>
              </w:rPr>
              <w:t>Food businesses</w:t>
            </w:r>
          </w:p>
          <w:p w14:paraId="010ADEB0" w14:textId="77777777" w:rsidR="00CB7716" w:rsidRPr="00103604" w:rsidRDefault="00CB7716" w:rsidP="00CB7716">
            <w:pPr>
              <w:rPr>
                <w:b w:val="0"/>
                <w:caps/>
              </w:rPr>
            </w:pPr>
          </w:p>
        </w:tc>
        <w:tc>
          <w:tcPr>
            <w:tcW w:w="6373" w:type="dxa"/>
          </w:tcPr>
          <w:p w14:paraId="190DC45B"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 xml:space="preserve">Potentially increased </w:t>
            </w:r>
            <w:r>
              <w:t>operational</w:t>
            </w:r>
            <w:r w:rsidRPr="00103604">
              <w:t xml:space="preserve"> costs</w:t>
            </w:r>
          </w:p>
          <w:p w14:paraId="4032964D"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Cost savings from a r</w:t>
            </w:r>
            <w:r w:rsidRPr="00103604">
              <w:t>educ</w:t>
            </w:r>
            <w:r>
              <w:t>ed</w:t>
            </w:r>
            <w:r w:rsidRPr="00103604">
              <w:t xml:space="preserve"> risk of a food safety incident</w:t>
            </w:r>
          </w:p>
          <w:p w14:paraId="6FBCD2A3"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Improved </w:t>
            </w:r>
            <w:r w:rsidDel="00722E1C">
              <w:t>capacity</w:t>
            </w:r>
            <w:r>
              <w:t xml:space="preserve"> to effectively and efficiently manage and respond to a food safety incident, reducing costs</w:t>
            </w:r>
          </w:p>
          <w:p w14:paraId="39E9A476"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Potential</w:t>
            </w:r>
            <w:r>
              <w:t>ly</w:t>
            </w:r>
            <w:r w:rsidRPr="00103604">
              <w:t xml:space="preserve"> ad</w:t>
            </w:r>
            <w:r>
              <w:t>ditional sales given higher quality food</w:t>
            </w:r>
          </w:p>
          <w:p w14:paraId="53571669" w14:textId="77777777" w:rsidR="00CB7716"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Reduced risks of market damage caused by others</w:t>
            </w:r>
          </w:p>
          <w:p w14:paraId="4F03A84A"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Harmonised national regulation reduces costs for businesses that operate across multiple jurisdictions.</w:t>
            </w:r>
            <w:r w:rsidRPr="00103604">
              <w:t xml:space="preserve"> </w:t>
            </w:r>
          </w:p>
        </w:tc>
      </w:tr>
      <w:tr w:rsidR="00CB7716" w:rsidRPr="00103604" w14:paraId="48526574" w14:textId="77777777" w:rsidTr="00E86163">
        <w:tc>
          <w:tcPr>
            <w:cnfStyle w:val="001000000000" w:firstRow="0" w:lastRow="0" w:firstColumn="1" w:lastColumn="0" w:oddVBand="0" w:evenVBand="0" w:oddHBand="0" w:evenHBand="0" w:firstRowFirstColumn="0" w:firstRowLastColumn="0" w:lastRowFirstColumn="0" w:lastRowLastColumn="0"/>
            <w:tcW w:w="2694" w:type="dxa"/>
          </w:tcPr>
          <w:p w14:paraId="1572E21B" w14:textId="77777777" w:rsidR="00CB7716" w:rsidRPr="00103604" w:rsidRDefault="00CB7716" w:rsidP="00CB7716">
            <w:pPr>
              <w:rPr>
                <w:b w:val="0"/>
              </w:rPr>
            </w:pPr>
            <w:r>
              <w:rPr>
                <w:b w:val="0"/>
              </w:rPr>
              <w:t>2</w:t>
            </w:r>
            <w:r w:rsidRPr="00103604">
              <w:rPr>
                <w:b w:val="0"/>
              </w:rPr>
              <w:t>. Food consumers</w:t>
            </w:r>
          </w:p>
        </w:tc>
        <w:tc>
          <w:tcPr>
            <w:tcW w:w="6373" w:type="dxa"/>
          </w:tcPr>
          <w:p w14:paraId="7358E678"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Improved safety of products reduc</w:t>
            </w:r>
            <w:r>
              <w:t>ing</w:t>
            </w:r>
            <w:r w:rsidRPr="00103604">
              <w:t xml:space="preserve"> likelihood of illness</w:t>
            </w:r>
          </w:p>
          <w:p w14:paraId="348E806E" w14:textId="77777777" w:rsidR="00CB7716"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t>Potential</w:t>
            </w:r>
            <w:r>
              <w:t>ly</w:t>
            </w:r>
            <w:r w:rsidRPr="00103604">
              <w:t xml:space="preserve"> increased costs of purchase</w:t>
            </w:r>
          </w:p>
          <w:p w14:paraId="59E1D918"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Potentially higher quality food available</w:t>
            </w:r>
          </w:p>
        </w:tc>
      </w:tr>
      <w:tr w:rsidR="00CB7716" w:rsidRPr="00103604" w14:paraId="07AC5FF0" w14:textId="77777777" w:rsidTr="00E86163">
        <w:tc>
          <w:tcPr>
            <w:cnfStyle w:val="001000000000" w:firstRow="0" w:lastRow="0" w:firstColumn="1" w:lastColumn="0" w:oddVBand="0" w:evenVBand="0" w:oddHBand="0" w:evenHBand="0" w:firstRowFirstColumn="0" w:firstRowLastColumn="0" w:lastRowFirstColumn="0" w:lastRowLastColumn="0"/>
            <w:tcW w:w="2694" w:type="dxa"/>
          </w:tcPr>
          <w:p w14:paraId="1C0AF706" w14:textId="77777777" w:rsidR="00CB7716" w:rsidRPr="00103604" w:rsidRDefault="00CB7716" w:rsidP="00CB7716">
            <w:pPr>
              <w:rPr>
                <w:b w:val="0"/>
              </w:rPr>
            </w:pPr>
            <w:r>
              <w:rPr>
                <w:b w:val="0"/>
              </w:rPr>
              <w:t>3</w:t>
            </w:r>
            <w:r w:rsidRPr="00103604">
              <w:rPr>
                <w:b w:val="0"/>
              </w:rPr>
              <w:t>. Government</w:t>
            </w:r>
          </w:p>
        </w:tc>
        <w:tc>
          <w:tcPr>
            <w:tcW w:w="6373" w:type="dxa"/>
          </w:tcPr>
          <w:p w14:paraId="6BB35986"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Potentially increased </w:t>
            </w:r>
            <w:r w:rsidRPr="00103604">
              <w:t>implementation and enforcement cost</w:t>
            </w:r>
            <w:r>
              <w:t>s for</w:t>
            </w:r>
            <w:r w:rsidRPr="00103604">
              <w:t xml:space="preserve"> new regulation</w:t>
            </w:r>
            <w:r>
              <w:t xml:space="preserve"> </w:t>
            </w:r>
          </w:p>
          <w:p w14:paraId="5A7E5A4C"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t xml:space="preserve">Improved </w:t>
            </w:r>
            <w:r w:rsidDel="00722E1C">
              <w:t>capacity</w:t>
            </w:r>
            <w:r>
              <w:t xml:space="preserve"> to effectively and efficiently manage a food safety incident, reducing costs</w:t>
            </w:r>
          </w:p>
          <w:p w14:paraId="3C5AEFC0" w14:textId="77777777" w:rsidR="00CB7716" w:rsidRPr="00103604" w:rsidRDefault="00CB7716" w:rsidP="00614AF5">
            <w:pPr>
              <w:widowControl/>
              <w:numPr>
                <w:ilvl w:val="0"/>
                <w:numId w:val="7"/>
              </w:numPr>
              <w:ind w:left="255" w:hanging="255"/>
              <w:contextualSpacing/>
              <w:cnfStyle w:val="000000000000" w:firstRow="0" w:lastRow="0" w:firstColumn="0" w:lastColumn="0" w:oddVBand="0" w:evenVBand="0" w:oddHBand="0" w:evenHBand="0" w:firstRowFirstColumn="0" w:firstRowLastColumn="0" w:lastRowFirstColumn="0" w:lastRowLastColumn="0"/>
            </w:pPr>
            <w:r w:rsidRPr="00103604">
              <w:lastRenderedPageBreak/>
              <w:t>Savings in health care expenditure</w:t>
            </w:r>
          </w:p>
        </w:tc>
      </w:tr>
    </w:tbl>
    <w:p w14:paraId="7AE91CBA" w14:textId="77777777" w:rsidR="00CB7716" w:rsidRPr="00103604" w:rsidRDefault="00CB7716" w:rsidP="00CB7716"/>
    <w:p w14:paraId="6B3D653C" w14:textId="0FC43825" w:rsidR="00A94813" w:rsidRPr="00103604" w:rsidRDefault="00CB7716" w:rsidP="00B67B69">
      <w:pPr>
        <w:spacing w:after="240"/>
        <w:rPr>
          <w:b/>
          <w:i/>
        </w:rPr>
      </w:pPr>
      <w:r>
        <w:t>These impacts have been considered in the analysis in Table 7 below. However, it is not always possible to quantify and compare all impacts.</w:t>
      </w:r>
    </w:p>
    <w:p w14:paraId="074C6E10" w14:textId="77777777" w:rsidR="00CB7716" w:rsidRPr="00536BB8" w:rsidRDefault="00CB7716" w:rsidP="00CB7716">
      <w:pPr>
        <w:pStyle w:val="Caption"/>
        <w:keepNext/>
        <w:rPr>
          <w:b/>
          <w:color w:val="auto"/>
          <w:sz w:val="20"/>
          <w:szCs w:val="20"/>
        </w:rPr>
      </w:pPr>
      <w:r w:rsidRPr="00536BB8">
        <w:rPr>
          <w:b/>
          <w:color w:val="auto"/>
          <w:sz w:val="20"/>
          <w:szCs w:val="20"/>
        </w:rPr>
        <w:t>Table 7: Quantified and unquantified impacts of increased food safety regulation</w:t>
      </w:r>
    </w:p>
    <w:tbl>
      <w:tblPr>
        <w:tblStyle w:val="GridTable1Light"/>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4875"/>
      </w:tblGrid>
      <w:tr w:rsidR="00CB7716" w:rsidRPr="00103604" w14:paraId="2AB2FAF1" w14:textId="77777777" w:rsidTr="006E77ED">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689" w:type="dxa"/>
          </w:tcPr>
          <w:p w14:paraId="1A272219" w14:textId="77777777" w:rsidR="00CB7716" w:rsidRPr="00103604" w:rsidRDefault="00CB7716" w:rsidP="00CB7716">
            <w:pPr>
              <w:rPr>
                <w:b w:val="0"/>
                <w:bCs w:val="0"/>
              </w:rPr>
            </w:pPr>
            <w:r w:rsidRPr="00103604">
              <w:t>General cost or benefit</w:t>
            </w:r>
          </w:p>
        </w:tc>
        <w:tc>
          <w:tcPr>
            <w:tcW w:w="1559" w:type="dxa"/>
          </w:tcPr>
          <w:p w14:paraId="6A53DB17" w14:textId="77777777" w:rsidR="00CB7716" w:rsidRPr="00103604" w:rsidRDefault="00CB7716" w:rsidP="00CB7716">
            <w:pPr>
              <w:cnfStyle w:val="100000000000" w:firstRow="1" w:lastRow="0" w:firstColumn="0" w:lastColumn="0" w:oddVBand="0" w:evenVBand="0" w:oddHBand="0" w:evenHBand="0" w:firstRowFirstColumn="0" w:firstRowLastColumn="0" w:lastRowFirstColumn="0" w:lastRowLastColumn="0"/>
            </w:pPr>
            <w:r w:rsidRPr="00103604">
              <w:t>Social group</w:t>
            </w:r>
          </w:p>
        </w:tc>
        <w:tc>
          <w:tcPr>
            <w:tcW w:w="4875" w:type="dxa"/>
          </w:tcPr>
          <w:p w14:paraId="2E090289" w14:textId="77777777" w:rsidR="00CB7716" w:rsidRPr="00103604" w:rsidRDefault="00CB7716" w:rsidP="00CB7716">
            <w:pPr>
              <w:cnfStyle w:val="100000000000" w:firstRow="1" w:lastRow="0" w:firstColumn="0" w:lastColumn="0" w:oddVBand="0" w:evenVBand="0" w:oddHBand="0" w:evenHBand="0" w:firstRowFirstColumn="0" w:firstRowLastColumn="0" w:lastRowFirstColumn="0" w:lastRowLastColumn="0"/>
            </w:pPr>
            <w:r w:rsidRPr="00103604">
              <w:t>Specific cost or benefit</w:t>
            </w:r>
          </w:p>
        </w:tc>
      </w:tr>
      <w:tr w:rsidR="00CB7716" w:rsidRPr="00103604" w14:paraId="243AD02D"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2F51B9BB" w14:textId="77777777" w:rsidR="00CB7716" w:rsidRPr="006E77ED" w:rsidRDefault="00CB7716" w:rsidP="00CB7716">
            <w:pPr>
              <w:rPr>
                <w:b w:val="0"/>
                <w:caps/>
              </w:rPr>
            </w:pPr>
            <w:r w:rsidRPr="006E77ED">
              <w:rPr>
                <w:b w:val="0"/>
              </w:rPr>
              <w:t>Quantified cost</w:t>
            </w:r>
          </w:p>
        </w:tc>
        <w:tc>
          <w:tcPr>
            <w:tcW w:w="1559" w:type="dxa"/>
          </w:tcPr>
          <w:p w14:paraId="6D4F0E07"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Industry</w:t>
            </w:r>
          </w:p>
        </w:tc>
        <w:tc>
          <w:tcPr>
            <w:tcW w:w="4875" w:type="dxa"/>
          </w:tcPr>
          <w:p w14:paraId="0CDA0D3F" w14:textId="77777777" w:rsidR="00CB7716" w:rsidRPr="00103604" w:rsidRDefault="00CB7716" w:rsidP="00614AF5">
            <w:pPr>
              <w:pStyle w:val="ListParagraph"/>
              <w:numPr>
                <w:ilvl w:val="0"/>
                <w:numId w:val="61"/>
              </w:numPr>
              <w:ind w:left="255" w:hanging="255"/>
              <w:cnfStyle w:val="000000000000" w:firstRow="0" w:lastRow="0" w:firstColumn="0" w:lastColumn="0" w:oddVBand="0" w:evenVBand="0" w:oddHBand="0" w:evenHBand="0" w:firstRowFirstColumn="0" w:firstRowLastColumn="0" w:lastRowFirstColumn="0" w:lastRowLastColumn="0"/>
            </w:pPr>
            <w:r w:rsidRPr="00103604">
              <w:t>Increased production costs</w:t>
            </w:r>
          </w:p>
        </w:tc>
      </w:tr>
      <w:tr w:rsidR="00CB7716" w:rsidRPr="00103604" w14:paraId="6702418D"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tcPr>
          <w:p w14:paraId="7F512137" w14:textId="77777777" w:rsidR="00CB7716" w:rsidRPr="006E77ED" w:rsidRDefault="00CB7716" w:rsidP="00CB7716">
            <w:pPr>
              <w:rPr>
                <w:b w:val="0"/>
              </w:rPr>
            </w:pPr>
          </w:p>
        </w:tc>
        <w:tc>
          <w:tcPr>
            <w:tcW w:w="1559" w:type="dxa"/>
          </w:tcPr>
          <w:p w14:paraId="66743722"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Government</w:t>
            </w:r>
          </w:p>
        </w:tc>
        <w:tc>
          <w:tcPr>
            <w:tcW w:w="4875" w:type="dxa"/>
          </w:tcPr>
          <w:p w14:paraId="137412CF" w14:textId="77777777" w:rsidR="00CB7716" w:rsidRPr="00103604" w:rsidRDefault="00CB7716" w:rsidP="00614AF5">
            <w:pPr>
              <w:pStyle w:val="ListParagraph"/>
              <w:numPr>
                <w:ilvl w:val="0"/>
                <w:numId w:val="61"/>
              </w:numPr>
              <w:ind w:left="255" w:hanging="255"/>
              <w:cnfStyle w:val="000000000000" w:firstRow="0" w:lastRow="0" w:firstColumn="0" w:lastColumn="0" w:oddVBand="0" w:evenVBand="0" w:oddHBand="0" w:evenHBand="0" w:firstRowFirstColumn="0" w:firstRowLastColumn="0" w:lastRowFirstColumn="0" w:lastRowLastColumn="0"/>
            </w:pPr>
            <w:r w:rsidRPr="00103604">
              <w:t>Implementation and enforcement costs</w:t>
            </w:r>
          </w:p>
        </w:tc>
      </w:tr>
      <w:tr w:rsidR="00CB7716" w:rsidRPr="00103604" w14:paraId="22B3BA67" w14:textId="77777777" w:rsidTr="006E77ED">
        <w:trPr>
          <w:trHeight w:val="294"/>
        </w:trPr>
        <w:tc>
          <w:tcPr>
            <w:cnfStyle w:val="001000000000" w:firstRow="0" w:lastRow="0" w:firstColumn="1" w:lastColumn="0" w:oddVBand="0" w:evenVBand="0" w:oddHBand="0" w:evenHBand="0" w:firstRowFirstColumn="0" w:firstRowLastColumn="0" w:lastRowFirstColumn="0" w:lastRowLastColumn="0"/>
            <w:tcW w:w="2689" w:type="dxa"/>
          </w:tcPr>
          <w:p w14:paraId="5C999A75" w14:textId="77777777" w:rsidR="00CB7716" w:rsidRPr="006E77ED" w:rsidRDefault="00CB7716" w:rsidP="00CB7716">
            <w:pPr>
              <w:rPr>
                <w:b w:val="0"/>
              </w:rPr>
            </w:pPr>
            <w:r w:rsidRPr="006E77ED">
              <w:rPr>
                <w:b w:val="0"/>
              </w:rPr>
              <w:t>Unquantified costs</w:t>
            </w:r>
          </w:p>
        </w:tc>
        <w:tc>
          <w:tcPr>
            <w:tcW w:w="1559" w:type="dxa"/>
          </w:tcPr>
          <w:p w14:paraId="0BC76B59"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Industry and consumers</w:t>
            </w:r>
          </w:p>
        </w:tc>
        <w:tc>
          <w:tcPr>
            <w:tcW w:w="4875" w:type="dxa"/>
          </w:tcPr>
          <w:p w14:paraId="7C6DFDEF" w14:textId="77777777" w:rsidR="00CB7716" w:rsidRPr="00103604" w:rsidRDefault="00CB7716" w:rsidP="00614AF5">
            <w:pPr>
              <w:pStyle w:val="ListParagraph"/>
              <w:numPr>
                <w:ilvl w:val="0"/>
                <w:numId w:val="58"/>
              </w:numPr>
              <w:ind w:left="255" w:hanging="255"/>
              <w:cnfStyle w:val="000000000000" w:firstRow="0" w:lastRow="0" w:firstColumn="0" w:lastColumn="0" w:oddVBand="0" w:evenVBand="0" w:oddHBand="0" w:evenHBand="0" w:firstRowFirstColumn="0" w:firstRowLastColumn="0" w:lastRowFirstColumn="0" w:lastRowLastColumn="0"/>
            </w:pPr>
            <w:r>
              <w:t xml:space="preserve">Potential price increases (transferred to consumers partially or fully by businesses having incurred increased costs)* </w:t>
            </w:r>
          </w:p>
        </w:tc>
      </w:tr>
      <w:tr w:rsidR="00CB7716" w:rsidRPr="00103604" w14:paraId="526C3442"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6402CF91" w14:textId="77777777" w:rsidR="00CB7716" w:rsidRPr="006E77ED" w:rsidRDefault="00CB7716" w:rsidP="00CB7716">
            <w:pPr>
              <w:rPr>
                <w:b w:val="0"/>
              </w:rPr>
            </w:pPr>
            <w:r w:rsidRPr="006E77ED">
              <w:rPr>
                <w:b w:val="0"/>
              </w:rPr>
              <w:t>Quantified benefits</w:t>
            </w:r>
          </w:p>
        </w:tc>
        <w:tc>
          <w:tcPr>
            <w:tcW w:w="1559" w:type="dxa"/>
          </w:tcPr>
          <w:p w14:paraId="5AE1D8D2"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Consumers</w:t>
            </w:r>
          </w:p>
        </w:tc>
        <w:tc>
          <w:tcPr>
            <w:tcW w:w="4875" w:type="dxa"/>
          </w:tcPr>
          <w:p w14:paraId="2547E6C1" w14:textId="77777777" w:rsidR="00CB7716" w:rsidRPr="00103604" w:rsidRDefault="00CB7716" w:rsidP="00614AF5">
            <w:pPr>
              <w:pStyle w:val="ListParagraph"/>
              <w:numPr>
                <w:ilvl w:val="0"/>
                <w:numId w:val="59"/>
              </w:numPr>
              <w:ind w:left="255" w:hanging="255"/>
              <w:cnfStyle w:val="000000000000" w:firstRow="0" w:lastRow="0" w:firstColumn="0" w:lastColumn="0" w:oddVBand="0" w:evenVBand="0" w:oddHBand="0" w:evenHBand="0" w:firstRowFirstColumn="0" w:firstRowLastColumn="0" w:lastRowFirstColumn="0" w:lastRowLastColumn="0"/>
            </w:pPr>
            <w:r w:rsidRPr="00103604">
              <w:t>Avoided illness</w:t>
            </w:r>
          </w:p>
        </w:tc>
      </w:tr>
      <w:tr w:rsidR="00CB7716" w:rsidRPr="00103604" w14:paraId="654827D0"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tcPr>
          <w:p w14:paraId="1C1DA005" w14:textId="77777777" w:rsidR="00CB7716" w:rsidRPr="006E77ED" w:rsidRDefault="00CB7716" w:rsidP="00CB7716">
            <w:pPr>
              <w:rPr>
                <w:b w:val="0"/>
              </w:rPr>
            </w:pPr>
          </w:p>
        </w:tc>
        <w:tc>
          <w:tcPr>
            <w:tcW w:w="1559" w:type="dxa"/>
          </w:tcPr>
          <w:p w14:paraId="3790A3B4"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Government</w:t>
            </w:r>
          </w:p>
        </w:tc>
        <w:tc>
          <w:tcPr>
            <w:tcW w:w="4875" w:type="dxa"/>
          </w:tcPr>
          <w:p w14:paraId="42E4F999" w14:textId="77777777" w:rsidR="00CB7716" w:rsidRPr="00103604" w:rsidRDefault="00CB7716" w:rsidP="00614AF5">
            <w:pPr>
              <w:pStyle w:val="ListParagraph"/>
              <w:numPr>
                <w:ilvl w:val="0"/>
                <w:numId w:val="59"/>
              </w:numPr>
              <w:ind w:left="255" w:hanging="255"/>
              <w:cnfStyle w:val="000000000000" w:firstRow="0" w:lastRow="0" w:firstColumn="0" w:lastColumn="0" w:oddVBand="0" w:evenVBand="0" w:oddHBand="0" w:evenHBand="0" w:firstRowFirstColumn="0" w:firstRowLastColumn="0" w:lastRowFirstColumn="0" w:lastRowLastColumn="0"/>
            </w:pPr>
            <w:r w:rsidRPr="00103604">
              <w:t>Avoided health care costs</w:t>
            </w:r>
          </w:p>
        </w:tc>
      </w:tr>
      <w:tr w:rsidR="00CB7716" w:rsidRPr="00103604" w14:paraId="03D5E177"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1C2C5079" w14:textId="77777777" w:rsidR="00CB7716" w:rsidRPr="006E77ED" w:rsidRDefault="00CB7716" w:rsidP="00CB7716">
            <w:pPr>
              <w:rPr>
                <w:b w:val="0"/>
                <w:bCs w:val="0"/>
              </w:rPr>
            </w:pPr>
            <w:r w:rsidRPr="006E77ED">
              <w:rPr>
                <w:b w:val="0"/>
              </w:rPr>
              <w:t>Unquantified benefits</w:t>
            </w:r>
          </w:p>
          <w:p w14:paraId="6B17F9BC" w14:textId="77777777" w:rsidR="00CB7716" w:rsidRPr="006E77ED" w:rsidRDefault="00CB7716" w:rsidP="00CB7716">
            <w:pPr>
              <w:rPr>
                <w:b w:val="0"/>
              </w:rPr>
            </w:pPr>
          </w:p>
        </w:tc>
        <w:tc>
          <w:tcPr>
            <w:tcW w:w="1559" w:type="dxa"/>
          </w:tcPr>
          <w:p w14:paraId="11D4A1F4"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Industry</w:t>
            </w:r>
          </w:p>
        </w:tc>
        <w:tc>
          <w:tcPr>
            <w:tcW w:w="4875" w:type="dxa"/>
          </w:tcPr>
          <w:p w14:paraId="2555BC79" w14:textId="77777777" w:rsidR="00CB7716" w:rsidRDefault="00CB7716" w:rsidP="00614AF5">
            <w:pPr>
              <w:pStyle w:val="ListParagraph"/>
              <w:numPr>
                <w:ilvl w:val="0"/>
                <w:numId w:val="57"/>
              </w:numPr>
              <w:ind w:left="255" w:hanging="255"/>
              <w:cnfStyle w:val="000000000000" w:firstRow="0" w:lastRow="0" w:firstColumn="0" w:lastColumn="0" w:oddVBand="0" w:evenVBand="0" w:oddHBand="0" w:evenHBand="0" w:firstRowFirstColumn="0" w:firstRowLastColumn="0" w:lastRowFirstColumn="0" w:lastRowLastColumn="0"/>
            </w:pPr>
            <w:r w:rsidRPr="00103604">
              <w:t>Reduced risk of food safety incidents</w:t>
            </w:r>
          </w:p>
          <w:p w14:paraId="652C3596" w14:textId="77777777" w:rsidR="00CB7716" w:rsidRDefault="00CB7716" w:rsidP="00614AF5">
            <w:pPr>
              <w:pStyle w:val="ListParagraph"/>
              <w:numPr>
                <w:ilvl w:val="0"/>
                <w:numId w:val="57"/>
              </w:numPr>
              <w:ind w:left="255" w:hanging="255"/>
              <w:cnfStyle w:val="000000000000" w:firstRow="0" w:lastRow="0" w:firstColumn="0" w:lastColumn="0" w:oddVBand="0" w:evenVBand="0" w:oddHBand="0" w:evenHBand="0" w:firstRowFirstColumn="0" w:firstRowLastColumn="0" w:lastRowFirstColumn="0" w:lastRowLastColumn="0"/>
            </w:pPr>
            <w:r>
              <w:t xml:space="preserve">Improved </w:t>
            </w:r>
            <w:r w:rsidDel="6DE48210">
              <w:t>capacity</w:t>
            </w:r>
            <w:r>
              <w:t xml:space="preserve"> to manage an incident</w:t>
            </w:r>
          </w:p>
          <w:p w14:paraId="6C10AE34" w14:textId="77777777" w:rsidR="00CB7716" w:rsidRPr="00103604" w:rsidRDefault="00CB7716" w:rsidP="00614AF5">
            <w:pPr>
              <w:pStyle w:val="ListParagraph"/>
              <w:numPr>
                <w:ilvl w:val="0"/>
                <w:numId w:val="57"/>
              </w:numPr>
              <w:ind w:left="255" w:hanging="255"/>
              <w:cnfStyle w:val="000000000000" w:firstRow="0" w:lastRow="0" w:firstColumn="0" w:lastColumn="0" w:oddVBand="0" w:evenVBand="0" w:oddHBand="0" w:evenHBand="0" w:firstRowFirstColumn="0" w:firstRowLastColumn="0" w:lastRowFirstColumn="0" w:lastRowLastColumn="0"/>
            </w:pPr>
            <w:r>
              <w:t>Reduced costs for businesses that operate across multiple jurisdictions</w:t>
            </w:r>
          </w:p>
          <w:p w14:paraId="56F8049D" w14:textId="77777777" w:rsidR="00CB7716" w:rsidRPr="00103604" w:rsidRDefault="00CB7716" w:rsidP="00614AF5">
            <w:pPr>
              <w:pStyle w:val="ListParagraph"/>
              <w:numPr>
                <w:ilvl w:val="0"/>
                <w:numId w:val="57"/>
              </w:numPr>
              <w:ind w:left="255" w:hanging="255"/>
              <w:cnfStyle w:val="000000000000" w:firstRow="0" w:lastRow="0" w:firstColumn="0" w:lastColumn="0" w:oddVBand="0" w:evenVBand="0" w:oddHBand="0" w:evenHBand="0" w:firstRowFirstColumn="0" w:firstRowLastColumn="0" w:lastRowFirstColumn="0" w:lastRowLastColumn="0"/>
            </w:pPr>
            <w:r w:rsidRPr="00103604">
              <w:t>Reduced risks of market damage caused by others</w:t>
            </w:r>
          </w:p>
        </w:tc>
      </w:tr>
      <w:tr w:rsidR="00CB7716" w:rsidRPr="00103604" w14:paraId="301A8F91"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tcPr>
          <w:p w14:paraId="3F375152" w14:textId="77777777" w:rsidR="00CB7716" w:rsidRPr="00103604" w:rsidRDefault="00CB7716" w:rsidP="00CB7716">
            <w:pPr>
              <w:rPr>
                <w:b w:val="0"/>
              </w:rPr>
            </w:pPr>
          </w:p>
        </w:tc>
        <w:tc>
          <w:tcPr>
            <w:tcW w:w="1559" w:type="dxa"/>
          </w:tcPr>
          <w:p w14:paraId="48378E61"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rsidRPr="00103604">
              <w:t>Government</w:t>
            </w:r>
          </w:p>
        </w:tc>
        <w:tc>
          <w:tcPr>
            <w:tcW w:w="4875" w:type="dxa"/>
          </w:tcPr>
          <w:p w14:paraId="165E060B" w14:textId="77777777" w:rsidR="00CB7716" w:rsidRPr="00103604" w:rsidRDefault="00CB7716" w:rsidP="00614AF5">
            <w:pPr>
              <w:pStyle w:val="ListParagraph"/>
              <w:numPr>
                <w:ilvl w:val="0"/>
                <w:numId w:val="60"/>
              </w:numPr>
              <w:ind w:left="255" w:hanging="255"/>
              <w:cnfStyle w:val="000000000000" w:firstRow="0" w:lastRow="0" w:firstColumn="0" w:lastColumn="0" w:oddVBand="0" w:evenVBand="0" w:oddHBand="0" w:evenHBand="0" w:firstRowFirstColumn="0" w:firstRowLastColumn="0" w:lastRowFirstColumn="0" w:lastRowLastColumn="0"/>
            </w:pPr>
            <w:r>
              <w:t xml:space="preserve">Improved </w:t>
            </w:r>
            <w:r w:rsidDel="6DE48210">
              <w:t>capacity</w:t>
            </w:r>
            <w:r>
              <w:t xml:space="preserve"> to manage an incident</w:t>
            </w:r>
          </w:p>
        </w:tc>
      </w:tr>
      <w:tr w:rsidR="00CB7716" w:rsidRPr="00103604" w14:paraId="61F97355" w14:textId="77777777" w:rsidTr="006E77ED">
        <w:trPr>
          <w:trHeight w:val="306"/>
        </w:trPr>
        <w:tc>
          <w:tcPr>
            <w:cnfStyle w:val="001000000000" w:firstRow="0" w:lastRow="0" w:firstColumn="1" w:lastColumn="0" w:oddVBand="0" w:evenVBand="0" w:oddHBand="0" w:evenHBand="0" w:firstRowFirstColumn="0" w:firstRowLastColumn="0" w:lastRowFirstColumn="0" w:lastRowLastColumn="0"/>
            <w:tcW w:w="2689" w:type="dxa"/>
            <w:vMerge/>
          </w:tcPr>
          <w:p w14:paraId="060270AA" w14:textId="77777777" w:rsidR="00CB7716" w:rsidRPr="00103604" w:rsidRDefault="00CB7716" w:rsidP="00CB7716">
            <w:pPr>
              <w:rPr>
                <w:b w:val="0"/>
              </w:rPr>
            </w:pPr>
          </w:p>
        </w:tc>
        <w:tc>
          <w:tcPr>
            <w:tcW w:w="1559" w:type="dxa"/>
          </w:tcPr>
          <w:p w14:paraId="26A8EC12" w14:textId="77777777" w:rsidR="00CB7716" w:rsidRPr="00103604" w:rsidRDefault="00CB7716" w:rsidP="00CB7716">
            <w:pPr>
              <w:cnfStyle w:val="000000000000" w:firstRow="0" w:lastRow="0" w:firstColumn="0" w:lastColumn="0" w:oddVBand="0" w:evenVBand="0" w:oddHBand="0" w:evenHBand="0" w:firstRowFirstColumn="0" w:firstRowLastColumn="0" w:lastRowFirstColumn="0" w:lastRowLastColumn="0"/>
            </w:pPr>
            <w:r>
              <w:t>Consumers</w:t>
            </w:r>
          </w:p>
        </w:tc>
        <w:tc>
          <w:tcPr>
            <w:tcW w:w="4875" w:type="dxa"/>
          </w:tcPr>
          <w:p w14:paraId="39753EDD" w14:textId="77777777" w:rsidR="00CB7716" w:rsidRPr="00103604" w:rsidRDefault="00CB7716" w:rsidP="00614AF5">
            <w:pPr>
              <w:pStyle w:val="ListParagraph"/>
              <w:numPr>
                <w:ilvl w:val="0"/>
                <w:numId w:val="60"/>
              </w:numPr>
              <w:ind w:left="255" w:hanging="255"/>
              <w:cnfStyle w:val="000000000000" w:firstRow="0" w:lastRow="0" w:firstColumn="0" w:lastColumn="0" w:oddVBand="0" w:evenVBand="0" w:oddHBand="0" w:evenHBand="0" w:firstRowFirstColumn="0" w:firstRowLastColumn="0" w:lastRowFirstColumn="0" w:lastRowLastColumn="0"/>
            </w:pPr>
            <w:r>
              <w:t>Potentially higher quality food with enhanced attributed that extend beyond safety</w:t>
            </w:r>
          </w:p>
        </w:tc>
      </w:tr>
    </w:tbl>
    <w:p w14:paraId="39CA75EC" w14:textId="77777777" w:rsidR="00CB7716" w:rsidRPr="00FA1FA0" w:rsidRDefault="00CB7716" w:rsidP="00CB7716">
      <w:pPr>
        <w:pStyle w:val="Default"/>
        <w:rPr>
          <w:rFonts w:ascii="Arial" w:hAnsi="Arial" w:cs="Arial"/>
          <w:sz w:val="22"/>
          <w:szCs w:val="22"/>
        </w:rPr>
      </w:pPr>
      <w:r w:rsidRPr="00FA1FA0">
        <w:rPr>
          <w:rFonts w:ascii="Arial" w:hAnsi="Arial" w:cs="Arial"/>
          <w:sz w:val="20"/>
          <w:szCs w:val="20"/>
        </w:rPr>
        <w:t>*If these are passed-on costs, we took care not to double count them. However, they could have second round behavioural impacts on consumers, such as increased demand if they perceive food to be safer.</w:t>
      </w:r>
      <w:r w:rsidRPr="00FA1FA0">
        <w:rPr>
          <w:rFonts w:ascii="Arial" w:hAnsi="Arial" w:cs="Arial"/>
          <w:sz w:val="22"/>
          <w:szCs w:val="22"/>
        </w:rPr>
        <w:t xml:space="preserve"> </w:t>
      </w:r>
    </w:p>
    <w:p w14:paraId="271AA3BF" w14:textId="77777777" w:rsidR="00CB7716" w:rsidRPr="008C7177" w:rsidRDefault="00CB7716" w:rsidP="0025246D">
      <w:pPr>
        <w:pStyle w:val="Heading4"/>
        <w:numPr>
          <w:ilvl w:val="0"/>
          <w:numId w:val="0"/>
        </w:numPr>
        <w:ind w:left="864" w:hanging="864"/>
      </w:pPr>
      <w:bookmarkStart w:id="317" w:name="_Toc107412695"/>
      <w:r w:rsidRPr="008C7177">
        <w:t>4.</w:t>
      </w:r>
      <w:r>
        <w:t>5.2</w:t>
      </w:r>
      <w:r>
        <w:tab/>
        <w:t>Sub-o</w:t>
      </w:r>
      <w:r w:rsidRPr="008C7177">
        <w:t>ptions within option 3</w:t>
      </w:r>
      <w:bookmarkEnd w:id="317"/>
    </w:p>
    <w:p w14:paraId="44089507" w14:textId="429702C7" w:rsidR="00CB7716" w:rsidRDefault="00CB7716" w:rsidP="00B67B69">
      <w:pPr>
        <w:spacing w:after="240"/>
      </w:pPr>
      <w:r>
        <w:t>In the cost–benefit analysis we considered the sub-options:</w:t>
      </w:r>
    </w:p>
    <w:p w14:paraId="184A01B1" w14:textId="77777777" w:rsidR="00CB7716" w:rsidRDefault="00CB7716" w:rsidP="00B67B69">
      <w:pPr>
        <w:spacing w:after="240"/>
      </w:pPr>
      <w:r>
        <w:rPr>
          <w:b/>
        </w:rPr>
        <w:t>Option 3.1</w:t>
      </w:r>
      <w:r w:rsidRPr="00354C94">
        <w:rPr>
          <w:b/>
        </w:rPr>
        <w:t>:</w:t>
      </w:r>
      <w:r>
        <w:t xml:space="preserve"> Requiring a certified FSS and food handler staff to complete FHT</w:t>
      </w:r>
    </w:p>
    <w:p w14:paraId="6A2F961A" w14:textId="77777777" w:rsidR="00CB7716" w:rsidRDefault="00CB7716" w:rsidP="00B67B69">
      <w:pPr>
        <w:spacing w:after="240"/>
      </w:pPr>
      <w:r w:rsidRPr="68C0CA2D">
        <w:rPr>
          <w:b/>
          <w:bCs/>
        </w:rPr>
        <w:t xml:space="preserve">Option 3.2: </w:t>
      </w:r>
      <w:r>
        <w:t>All three tools (FSS, FHT, E).</w:t>
      </w:r>
    </w:p>
    <w:p w14:paraId="3E9E4321" w14:textId="42E027A8" w:rsidR="00CB7716" w:rsidRDefault="00CB7716" w:rsidP="00B67B69">
      <w:pPr>
        <w:spacing w:after="240"/>
      </w:pPr>
      <w:r>
        <w:t>To simplify the analysis, only Category 1 and Category 2 businesses are presented in this section. Category 3 businesses have not been included as we have no foodborne illness data to link outbreaks to this setting</w:t>
      </w:r>
      <w:r w:rsidRPr="68C0CA2D">
        <w:rPr>
          <w:rFonts w:cs="Arial"/>
          <w:lang w:val="en-AU"/>
        </w:rPr>
        <w:t xml:space="preserve">. Therefore, there is no threshold to directly evaluate a benefit </w:t>
      </w:r>
      <w:r>
        <w:t>if applying any regulatory interventions in this category. Details of the assumption made in this analysis are provided in Appendix 1.</w:t>
      </w:r>
    </w:p>
    <w:p w14:paraId="2CA5DBE6" w14:textId="131EAEFD" w:rsidR="00A94813" w:rsidRDefault="00CB7716" w:rsidP="00B67B69">
      <w:pPr>
        <w:spacing w:after="240"/>
      </w:pPr>
      <w:r>
        <w:t>The net benefits of options 3.1 and 3.2 have been calculated over a ten-year period for both Category 1 and Category 2 businesses (Table 8). In this calculation, we estimated the costs to businesses against the net benefit in reduced foodborne illness associated with food service and retail sectors. An annual discount rate of 7% was applied as per the recommendation of the Offic</w:t>
      </w:r>
      <w:r w:rsidR="00B67B69">
        <w:t xml:space="preserve">e of Best Practice Regulation. </w:t>
      </w:r>
    </w:p>
    <w:p w14:paraId="133CD3AA" w14:textId="77777777" w:rsidR="00CB7716" w:rsidRPr="00536BB8" w:rsidRDefault="00CB7716" w:rsidP="00CB7716">
      <w:pPr>
        <w:pStyle w:val="Caption"/>
        <w:keepNext/>
        <w:rPr>
          <w:b/>
          <w:color w:val="auto"/>
          <w:sz w:val="20"/>
          <w:szCs w:val="20"/>
        </w:rPr>
      </w:pPr>
      <w:r w:rsidRPr="00536BB8">
        <w:rPr>
          <w:b/>
          <w:color w:val="auto"/>
          <w:sz w:val="20"/>
          <w:szCs w:val="20"/>
        </w:rPr>
        <w:t>Table 8: Output of cost–benefit analysis</w:t>
      </w:r>
    </w:p>
    <w:tbl>
      <w:tblPr>
        <w:tblStyle w:val="List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CB7716" w:rsidRPr="00522745" w14:paraId="5E51E06C" w14:textId="77777777" w:rsidTr="006E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DD9C3" w:themeFill="background2" w:themeFillShade="E6"/>
          </w:tcPr>
          <w:p w14:paraId="1F90E5D8" w14:textId="77777777" w:rsidR="00CB7716" w:rsidRPr="006E77ED" w:rsidRDefault="00CB7716" w:rsidP="00CB7716">
            <w:pPr>
              <w:spacing w:after="85"/>
              <w:jc w:val="center"/>
              <w:rPr>
                <w:color w:val="auto"/>
              </w:rPr>
            </w:pPr>
            <w:r w:rsidRPr="006E77ED">
              <w:rPr>
                <w:color w:val="auto"/>
              </w:rPr>
              <w:t>Option</w:t>
            </w:r>
          </w:p>
        </w:tc>
        <w:tc>
          <w:tcPr>
            <w:tcW w:w="3005" w:type="dxa"/>
            <w:shd w:val="clear" w:color="auto" w:fill="DDD9C3" w:themeFill="background2" w:themeFillShade="E6"/>
          </w:tcPr>
          <w:p w14:paraId="14CE5515" w14:textId="77777777" w:rsidR="00CB7716" w:rsidRPr="006E77ED"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color w:val="auto"/>
              </w:rPr>
            </w:pPr>
            <w:r w:rsidRPr="006E77ED">
              <w:rPr>
                <w:color w:val="auto"/>
              </w:rPr>
              <w:t>Business category</w:t>
            </w:r>
          </w:p>
        </w:tc>
        <w:tc>
          <w:tcPr>
            <w:tcW w:w="3006" w:type="dxa"/>
            <w:shd w:val="clear" w:color="auto" w:fill="DDD9C3" w:themeFill="background2" w:themeFillShade="E6"/>
          </w:tcPr>
          <w:p w14:paraId="4AA2B04A" w14:textId="77777777" w:rsidR="00CB7716" w:rsidRPr="006E77ED"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color w:val="auto"/>
              </w:rPr>
            </w:pPr>
            <w:r w:rsidRPr="006E77ED">
              <w:rPr>
                <w:color w:val="auto"/>
              </w:rPr>
              <w:t>Net benefit over 10 years at 7% discount</w:t>
            </w:r>
          </w:p>
        </w:tc>
      </w:tr>
      <w:tr w:rsidR="006E77ED" w:rsidRPr="00E81357" w14:paraId="43B3D742" w14:textId="77777777" w:rsidTr="006E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shd w:val="clear" w:color="auto" w:fill="B8CCE4" w:themeFill="accent1" w:themeFillTint="66"/>
          </w:tcPr>
          <w:p w14:paraId="061B6B66" w14:textId="77777777" w:rsidR="006E77ED" w:rsidRDefault="006E77ED" w:rsidP="00CB7716">
            <w:pPr>
              <w:spacing w:after="85"/>
              <w:jc w:val="center"/>
            </w:pPr>
            <w:r>
              <w:lastRenderedPageBreak/>
              <w:t>3.1</w:t>
            </w:r>
          </w:p>
        </w:tc>
        <w:tc>
          <w:tcPr>
            <w:tcW w:w="3005" w:type="dxa"/>
            <w:shd w:val="clear" w:color="auto" w:fill="auto"/>
          </w:tcPr>
          <w:p w14:paraId="64F3EB90" w14:textId="77777777" w:rsidR="006E77ED" w:rsidRDefault="006E77ED" w:rsidP="00CB7716">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vAlign w:val="center"/>
          </w:tcPr>
          <w:p w14:paraId="7CA0E666" w14:textId="7B2CD7DF" w:rsidR="006E77ED" w:rsidRPr="00E81357" w:rsidRDefault="006E77ED"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themeColor="text1"/>
              </w:rPr>
              <w:t xml:space="preserve"> </w:t>
            </w:r>
            <w:r w:rsidRPr="68C0CA2D">
              <w:rPr>
                <w:rFonts w:ascii="Calibri" w:hAnsi="Calibri" w:cs="Calibri"/>
                <w:color w:val="000000" w:themeColor="text1"/>
              </w:rPr>
              <w:t>$681,116,</w:t>
            </w:r>
            <w:r w:rsidRPr="48861835">
              <w:rPr>
                <w:rFonts w:ascii="Calibri" w:hAnsi="Calibri" w:cs="Calibri"/>
                <w:color w:val="000000" w:themeColor="text1"/>
              </w:rPr>
              <w:t>675</w:t>
            </w:r>
            <w:r w:rsidRPr="68C0CA2D">
              <w:rPr>
                <w:rFonts w:ascii="Calibri" w:hAnsi="Calibri" w:cs="Calibri"/>
                <w:color w:val="000000" w:themeColor="text1"/>
              </w:rPr>
              <w:t xml:space="preserve"> </w:t>
            </w:r>
          </w:p>
        </w:tc>
      </w:tr>
      <w:tr w:rsidR="006E77ED" w:rsidRPr="00F743DB" w14:paraId="7E4EE9C8" w14:textId="77777777" w:rsidTr="006E77ED">
        <w:tc>
          <w:tcPr>
            <w:cnfStyle w:val="001000000000" w:firstRow="0" w:lastRow="0" w:firstColumn="1" w:lastColumn="0" w:oddVBand="0" w:evenVBand="0" w:oddHBand="0" w:evenHBand="0" w:firstRowFirstColumn="0" w:firstRowLastColumn="0" w:lastRowFirstColumn="0" w:lastRowLastColumn="0"/>
            <w:tcW w:w="3005" w:type="dxa"/>
            <w:vMerge/>
            <w:shd w:val="clear" w:color="auto" w:fill="B8CCE4" w:themeFill="accent1" w:themeFillTint="66"/>
          </w:tcPr>
          <w:p w14:paraId="6555D0B9" w14:textId="77777777" w:rsidR="006E77ED" w:rsidRDefault="006E77ED" w:rsidP="00CB7716">
            <w:pPr>
              <w:spacing w:after="85"/>
              <w:jc w:val="right"/>
            </w:pPr>
          </w:p>
        </w:tc>
        <w:tc>
          <w:tcPr>
            <w:tcW w:w="3005" w:type="dxa"/>
            <w:shd w:val="clear" w:color="auto" w:fill="D9D9D9" w:themeFill="background1" w:themeFillShade="D9"/>
          </w:tcPr>
          <w:p w14:paraId="28352991" w14:textId="77777777" w:rsidR="006E77ED" w:rsidRDefault="006E77ED" w:rsidP="00CB7716">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vAlign w:val="center"/>
          </w:tcPr>
          <w:p w14:paraId="1A8869C8" w14:textId="5574662C" w:rsidR="006E77ED" w:rsidRPr="00F743DB" w:rsidRDefault="006E77ED"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themeColor="text1"/>
              </w:rPr>
              <w:t xml:space="preserve"> </w:t>
            </w:r>
            <w:r w:rsidRPr="68C0CA2D">
              <w:rPr>
                <w:rFonts w:ascii="Calibri" w:hAnsi="Calibri" w:cs="Calibri"/>
                <w:color w:val="000000" w:themeColor="text1"/>
              </w:rPr>
              <w:t>$66,642,</w:t>
            </w:r>
            <w:r w:rsidRPr="48861835">
              <w:rPr>
                <w:rFonts w:ascii="Calibri" w:hAnsi="Calibri" w:cs="Calibri"/>
                <w:color w:val="000000" w:themeColor="text1"/>
              </w:rPr>
              <w:t>919</w:t>
            </w:r>
            <w:r w:rsidRPr="68C0CA2D">
              <w:rPr>
                <w:rFonts w:ascii="Calibri" w:hAnsi="Calibri" w:cs="Calibri"/>
                <w:color w:val="000000" w:themeColor="text1"/>
              </w:rPr>
              <w:t xml:space="preserve"> </w:t>
            </w:r>
          </w:p>
        </w:tc>
      </w:tr>
      <w:tr w:rsidR="006E77ED" w:rsidRPr="00F743DB" w14:paraId="4D0CEBBF" w14:textId="77777777" w:rsidTr="006E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shd w:val="clear" w:color="auto" w:fill="FBD4B4" w:themeFill="accent6" w:themeFillTint="66"/>
          </w:tcPr>
          <w:p w14:paraId="346B8C7A" w14:textId="77777777" w:rsidR="006E77ED" w:rsidRDefault="006E77ED" w:rsidP="00CB7716">
            <w:pPr>
              <w:spacing w:after="85"/>
              <w:jc w:val="center"/>
            </w:pPr>
            <w:r>
              <w:t>3.2</w:t>
            </w:r>
          </w:p>
        </w:tc>
        <w:tc>
          <w:tcPr>
            <w:tcW w:w="3005" w:type="dxa"/>
            <w:shd w:val="clear" w:color="auto" w:fill="auto"/>
          </w:tcPr>
          <w:p w14:paraId="1CF8F0AD" w14:textId="77777777" w:rsidR="006E77ED" w:rsidRDefault="006E77ED" w:rsidP="00CB7716">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vAlign w:val="center"/>
          </w:tcPr>
          <w:p w14:paraId="1535D3D9" w14:textId="5BCE571E" w:rsidR="006E77ED" w:rsidRPr="00F743DB" w:rsidRDefault="006E77ED"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themeColor="text1"/>
              </w:rPr>
              <w:t xml:space="preserve"> </w:t>
            </w:r>
            <w:r w:rsidRPr="68C0CA2D">
              <w:rPr>
                <w:rFonts w:ascii="Calibri" w:hAnsi="Calibri" w:cs="Calibri"/>
                <w:color w:val="000000" w:themeColor="text1"/>
              </w:rPr>
              <w:t>$621,539,</w:t>
            </w:r>
            <w:r w:rsidRPr="48861835">
              <w:rPr>
                <w:rFonts w:ascii="Calibri" w:hAnsi="Calibri" w:cs="Calibri"/>
                <w:color w:val="000000" w:themeColor="text1"/>
              </w:rPr>
              <w:t>085</w:t>
            </w:r>
            <w:r w:rsidRPr="68C0CA2D">
              <w:rPr>
                <w:rFonts w:ascii="Calibri" w:hAnsi="Calibri" w:cs="Calibri"/>
                <w:color w:val="000000" w:themeColor="text1"/>
              </w:rPr>
              <w:t xml:space="preserve"> </w:t>
            </w:r>
          </w:p>
        </w:tc>
      </w:tr>
      <w:tr w:rsidR="006E77ED" w:rsidRPr="00F743DB" w14:paraId="7B5B0E98" w14:textId="77777777" w:rsidTr="006E77ED">
        <w:tc>
          <w:tcPr>
            <w:cnfStyle w:val="001000000000" w:firstRow="0" w:lastRow="0" w:firstColumn="1" w:lastColumn="0" w:oddVBand="0" w:evenVBand="0" w:oddHBand="0" w:evenHBand="0" w:firstRowFirstColumn="0" w:firstRowLastColumn="0" w:lastRowFirstColumn="0" w:lastRowLastColumn="0"/>
            <w:tcW w:w="3005" w:type="dxa"/>
            <w:vMerge/>
            <w:shd w:val="clear" w:color="auto" w:fill="FBD4B4" w:themeFill="accent6" w:themeFillTint="66"/>
          </w:tcPr>
          <w:p w14:paraId="03BCD5E8" w14:textId="77777777" w:rsidR="006E77ED" w:rsidRDefault="006E77ED" w:rsidP="00CB7716">
            <w:pPr>
              <w:spacing w:after="85"/>
              <w:jc w:val="center"/>
            </w:pPr>
          </w:p>
        </w:tc>
        <w:tc>
          <w:tcPr>
            <w:tcW w:w="3005" w:type="dxa"/>
            <w:shd w:val="clear" w:color="auto" w:fill="D9D9D9" w:themeFill="background1" w:themeFillShade="D9"/>
          </w:tcPr>
          <w:p w14:paraId="7E66DEBF" w14:textId="77777777" w:rsidR="006E77ED" w:rsidRDefault="006E77ED" w:rsidP="00CB7716">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vAlign w:val="center"/>
          </w:tcPr>
          <w:p w14:paraId="4B7C51CD" w14:textId="4E008116" w:rsidR="006E77ED" w:rsidRPr="00F743DB" w:rsidRDefault="006E77ED"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themeColor="text1"/>
              </w:rPr>
              <w:t xml:space="preserve"> </w:t>
            </w:r>
            <w:r w:rsidRPr="68C0CA2D">
              <w:rPr>
                <w:rFonts w:ascii="Calibri" w:hAnsi="Calibri" w:cs="Calibri"/>
                <w:color w:val="000000" w:themeColor="text1"/>
              </w:rPr>
              <w:t>$111,918,</w:t>
            </w:r>
            <w:r w:rsidRPr="48861835">
              <w:rPr>
                <w:rFonts w:ascii="Calibri" w:hAnsi="Calibri" w:cs="Calibri"/>
                <w:color w:val="000000" w:themeColor="text1"/>
              </w:rPr>
              <w:t>638</w:t>
            </w:r>
          </w:p>
        </w:tc>
      </w:tr>
    </w:tbl>
    <w:p w14:paraId="6F4BD759" w14:textId="77777777" w:rsidR="00CB7716" w:rsidRDefault="00CB7716" w:rsidP="00CB7716"/>
    <w:p w14:paraId="4B917488" w14:textId="77777777" w:rsidR="00CB7716" w:rsidRDefault="00CB7716" w:rsidP="00B67B69">
      <w:pPr>
        <w:spacing w:after="240"/>
      </w:pPr>
      <w:r>
        <w:t xml:space="preserve">The modelling shows we can expect strong net benefits for both options. </w:t>
      </w:r>
    </w:p>
    <w:p w14:paraId="26306158" w14:textId="676C8B35" w:rsidR="00CB7716" w:rsidRDefault="00CB7716" w:rsidP="00B67B69">
      <w:pPr>
        <w:spacing w:after="240"/>
      </w:pPr>
      <w:r>
        <w:t xml:space="preserve">This economic modelling is sensitive to several variables including the efficacy of the intervention, estimated number of illness cases and the cost of those illnesses. We note these variables each have a level of uncertainty but are the best estimate at this point in time. </w:t>
      </w:r>
    </w:p>
    <w:p w14:paraId="291341F0" w14:textId="70862522" w:rsidR="00CB7716" w:rsidRDefault="00CB7716" w:rsidP="00B67B69">
      <w:pPr>
        <w:spacing w:after="240"/>
      </w:pPr>
      <w:r>
        <w:t xml:space="preserve">The foodborne illness cost estimates represent a significant increase to those previously estimated circa 2010 (by Kirk et al., 2014). This is a result of an increase in the estimated number of illnesses due to several factors outlined in our cost–benefit analysis (Appendix 1). We have taken a conservative approach to estimating efficacy of our interventions, and it is likely that a greater reduction in foodborne illness could be achieved. </w:t>
      </w:r>
    </w:p>
    <w:p w14:paraId="62D56D47" w14:textId="59D1793B" w:rsidR="00CB7716" w:rsidRDefault="00CB7716" w:rsidP="00B67B69">
      <w:pPr>
        <w:spacing w:after="240"/>
      </w:pPr>
      <w:r>
        <w:t>In addition to the cost–benefit analysis, the appropriateness of each tool was also considered rather than relying solely on the outputs of mathematical models. Appropriateness considers whether the regulatory tools are sustainable and effectively implemented in the relevant sectors. The option that appears to produce the largest net benefit may not be the most appropriate in the ‘real world’ where an alternative option exists that fits better with the capabilities and resources of industry and regulators. These broader factors are included in the multi-criteria analysis (</w:t>
      </w:r>
      <w:r w:rsidRPr="00AB76DF">
        <w:t xml:space="preserve">see </w:t>
      </w:r>
      <w:r>
        <w:t>Table 9</w:t>
      </w:r>
      <w:r w:rsidRPr="00AB76DF">
        <w:t xml:space="preserve"> below</w:t>
      </w:r>
      <w:r>
        <w:t>)</w:t>
      </w:r>
      <w:r w:rsidRPr="00A94813">
        <w:footnoteReference w:id="38"/>
      </w:r>
      <w:r>
        <w:t>.</w:t>
      </w:r>
    </w:p>
    <w:p w14:paraId="30CE1582" w14:textId="77777777" w:rsidR="00CB7716" w:rsidRPr="00A94813" w:rsidRDefault="00CB7716" w:rsidP="00B67B69">
      <w:pPr>
        <w:spacing w:after="240"/>
      </w:pPr>
      <w:r w:rsidRPr="00A94813">
        <w:t xml:space="preserve">For the unquantified impacts listed in Table 7, on balance, the majority of these impacts are estimated to likely further increase the net benefit. The expected benefits arising from less foodborne outbreaks attributed to businesses may also accrue not only to the businesses directly involved in an incident but the entire industry. Where consumers associate an incident with a whole class of businesses, there is potential for those consumers to temporarily avoid buying food from across that sector. </w:t>
      </w:r>
    </w:p>
    <w:p w14:paraId="6517B7B5" w14:textId="77777777" w:rsidR="00CB7716" w:rsidRPr="00536BB8" w:rsidRDefault="00CB7716" w:rsidP="00CB7716">
      <w:pPr>
        <w:pStyle w:val="Caption"/>
        <w:keepNext/>
        <w:rPr>
          <w:b/>
          <w:color w:val="auto"/>
          <w:sz w:val="20"/>
          <w:szCs w:val="20"/>
        </w:rPr>
      </w:pPr>
      <w:r w:rsidRPr="00536BB8">
        <w:rPr>
          <w:b/>
          <w:color w:val="auto"/>
          <w:sz w:val="20"/>
          <w:szCs w:val="20"/>
        </w:rPr>
        <w:t>Table 9: Multi-criteria analysis</w:t>
      </w:r>
    </w:p>
    <w:tbl>
      <w:tblPr>
        <w:tblStyle w:val="ListTable4"/>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554"/>
        <w:gridCol w:w="1875"/>
        <w:gridCol w:w="1587"/>
        <w:gridCol w:w="1301"/>
        <w:gridCol w:w="1200"/>
      </w:tblGrid>
      <w:tr w:rsidR="00CB7716" w:rsidRPr="008F2D06" w14:paraId="40EE16F5" w14:textId="77777777" w:rsidTr="6A61D147">
        <w:trPr>
          <w:cnfStyle w:val="100000000000" w:firstRow="1" w:lastRow="0" w:firstColumn="0" w:lastColumn="0" w:oddVBand="0" w:evenVBand="0" w:oddHBand="0" w:evenHBand="0" w:firstRowFirstColumn="0" w:firstRowLastColumn="0" w:lastRowFirstColumn="0" w:lastRowLastColumn="0"/>
          <w:trHeight w:val="626"/>
          <w:tblHeader/>
        </w:trPr>
        <w:tc>
          <w:tcPr>
            <w:cnfStyle w:val="001000000000" w:firstRow="0" w:lastRow="0" w:firstColumn="1" w:lastColumn="0" w:oddVBand="0" w:evenVBand="0" w:oddHBand="0" w:evenHBand="0" w:firstRowFirstColumn="0" w:firstRowLastColumn="0" w:lastRowFirstColumn="0" w:lastRowLastColumn="0"/>
            <w:tcW w:w="1414" w:type="dxa"/>
            <w:shd w:val="clear" w:color="auto" w:fill="DDD9C3" w:themeFill="background2" w:themeFillShade="E6"/>
          </w:tcPr>
          <w:p w14:paraId="59EF89DF" w14:textId="77777777" w:rsidR="00CB7716" w:rsidRPr="00B67B69" w:rsidRDefault="00CB7716" w:rsidP="006E77ED">
            <w:pPr>
              <w:spacing w:after="85"/>
              <w:jc w:val="center"/>
              <w:rPr>
                <w:color w:val="auto"/>
                <w:sz w:val="20"/>
                <w:szCs w:val="20"/>
              </w:rPr>
            </w:pPr>
            <w:r w:rsidRPr="00B67B69">
              <w:rPr>
                <w:color w:val="auto"/>
                <w:sz w:val="20"/>
                <w:szCs w:val="20"/>
              </w:rPr>
              <w:t>Option</w:t>
            </w:r>
          </w:p>
        </w:tc>
        <w:tc>
          <w:tcPr>
            <w:tcW w:w="1554" w:type="dxa"/>
            <w:shd w:val="clear" w:color="auto" w:fill="DDD9C3" w:themeFill="background2" w:themeFillShade="E6"/>
          </w:tcPr>
          <w:p w14:paraId="55891829"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Strong net benefit result from modelling</w:t>
            </w:r>
          </w:p>
        </w:tc>
        <w:tc>
          <w:tcPr>
            <w:tcW w:w="1875" w:type="dxa"/>
            <w:shd w:val="clear" w:color="auto" w:fill="DDD9C3" w:themeFill="background2" w:themeFillShade="E6"/>
          </w:tcPr>
          <w:p w14:paraId="0770C92B"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Practical and readily implementable by industry</w:t>
            </w:r>
          </w:p>
        </w:tc>
        <w:tc>
          <w:tcPr>
            <w:tcW w:w="1587" w:type="dxa"/>
            <w:shd w:val="clear" w:color="auto" w:fill="DDD9C3" w:themeFill="background2" w:themeFillShade="E6"/>
          </w:tcPr>
          <w:p w14:paraId="0CE23C28"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Able to be maintained over time</w:t>
            </w:r>
          </w:p>
        </w:tc>
        <w:tc>
          <w:tcPr>
            <w:tcW w:w="1301" w:type="dxa"/>
            <w:shd w:val="clear" w:color="auto" w:fill="DDD9C3" w:themeFill="background2" w:themeFillShade="E6"/>
          </w:tcPr>
          <w:p w14:paraId="5E2A9396"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Well targeted to risk in setting</w:t>
            </w:r>
          </w:p>
        </w:tc>
        <w:tc>
          <w:tcPr>
            <w:tcW w:w="1200" w:type="dxa"/>
            <w:shd w:val="clear" w:color="auto" w:fill="DDD9C3" w:themeFill="background2" w:themeFillShade="E6"/>
          </w:tcPr>
          <w:p w14:paraId="226CBF28" w14:textId="77777777" w:rsidR="00CB7716" w:rsidRPr="00B67B69"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B67B69">
              <w:rPr>
                <w:color w:val="auto"/>
                <w:sz w:val="20"/>
                <w:szCs w:val="20"/>
              </w:rPr>
              <w:t>Preferred option</w:t>
            </w:r>
          </w:p>
        </w:tc>
      </w:tr>
      <w:tr w:rsidR="00CB7716" w:rsidRPr="008F2D06" w14:paraId="7FEA4699" w14:textId="77777777" w:rsidTr="6A61D14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931" w:type="dxa"/>
            <w:gridSpan w:val="6"/>
            <w:shd w:val="clear" w:color="auto" w:fill="FFFFFF" w:themeFill="background1"/>
          </w:tcPr>
          <w:p w14:paraId="08F37C0A" w14:textId="77777777" w:rsidR="00CB7716" w:rsidRPr="008F2D06" w:rsidRDefault="00CB7716" w:rsidP="00CB7716">
            <w:pPr>
              <w:spacing w:after="85"/>
              <w:rPr>
                <w:sz w:val="20"/>
                <w:szCs w:val="20"/>
              </w:rPr>
            </w:pPr>
            <w:r w:rsidRPr="008F2D06">
              <w:rPr>
                <w:b w:val="0"/>
                <w:sz w:val="20"/>
                <w:szCs w:val="20"/>
              </w:rPr>
              <w:t xml:space="preserve">Category 1 </w:t>
            </w:r>
            <w:r>
              <w:rPr>
                <w:b w:val="0"/>
                <w:sz w:val="20"/>
                <w:szCs w:val="20"/>
              </w:rPr>
              <w:t>business</w:t>
            </w:r>
          </w:p>
        </w:tc>
      </w:tr>
      <w:tr w:rsidR="00CB7716" w:rsidRPr="008F2D06" w14:paraId="5817A954" w14:textId="77777777" w:rsidTr="6A61D147">
        <w:trPr>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B8CCE4" w:themeFill="accent1" w:themeFillTint="66"/>
            <w:vAlign w:val="center"/>
          </w:tcPr>
          <w:p w14:paraId="59A359E9" w14:textId="6FF0A142" w:rsidR="00CB7716" w:rsidRPr="00AC07C5" w:rsidRDefault="00CB7716" w:rsidP="006E77ED">
            <w:pPr>
              <w:spacing w:after="85"/>
              <w:rPr>
                <w:sz w:val="20"/>
                <w:szCs w:val="20"/>
              </w:rPr>
            </w:pPr>
            <w:r w:rsidRPr="00356070">
              <w:rPr>
                <w:sz w:val="20"/>
                <w:szCs w:val="20"/>
              </w:rPr>
              <w:t>3.1</w:t>
            </w:r>
          </w:p>
          <w:p w14:paraId="6ABD2312" w14:textId="77777777" w:rsidR="00CB7716" w:rsidRPr="00AC07C5" w:rsidRDefault="00CB7716" w:rsidP="006E77ED">
            <w:pPr>
              <w:spacing w:after="85"/>
              <w:rPr>
                <w:sz w:val="20"/>
                <w:szCs w:val="20"/>
              </w:rPr>
            </w:pPr>
            <w:r w:rsidRPr="00356070">
              <w:rPr>
                <w:sz w:val="20"/>
                <w:szCs w:val="20"/>
              </w:rPr>
              <w:t>FSS, FHT</w:t>
            </w:r>
          </w:p>
        </w:tc>
        <w:tc>
          <w:tcPr>
            <w:tcW w:w="1554" w:type="dxa"/>
            <w:shd w:val="clear" w:color="auto" w:fill="B8CCE4" w:themeFill="accent1" w:themeFillTint="66"/>
          </w:tcPr>
          <w:p w14:paraId="74F76B29"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875" w:type="dxa"/>
            <w:shd w:val="clear" w:color="auto" w:fill="B8CCE4" w:themeFill="accent1" w:themeFillTint="66"/>
          </w:tcPr>
          <w:p w14:paraId="52D70D3D"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587" w:type="dxa"/>
            <w:shd w:val="clear" w:color="auto" w:fill="B8CCE4" w:themeFill="accent1" w:themeFillTint="66"/>
          </w:tcPr>
          <w:p w14:paraId="1F23B50E"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301" w:type="dxa"/>
            <w:shd w:val="clear" w:color="auto" w:fill="B8CCE4" w:themeFill="accent1" w:themeFillTint="66"/>
          </w:tcPr>
          <w:p w14:paraId="37E59009" w14:textId="7D6765F9"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200" w:type="dxa"/>
            <w:shd w:val="clear" w:color="auto" w:fill="B8CCE4" w:themeFill="accent1" w:themeFillTint="66"/>
          </w:tcPr>
          <w:p w14:paraId="7CD37AB7"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no</w:t>
            </w:r>
          </w:p>
        </w:tc>
      </w:tr>
      <w:tr w:rsidR="00CB7716" w:rsidRPr="008F2D06" w14:paraId="5708B551" w14:textId="77777777" w:rsidTr="6A61D147">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FBD4B4" w:themeFill="accent6" w:themeFillTint="66"/>
            <w:vAlign w:val="center"/>
          </w:tcPr>
          <w:p w14:paraId="1EC7D642" w14:textId="77777777" w:rsidR="00CB7716" w:rsidRPr="00AC07C5" w:rsidRDefault="00CB7716" w:rsidP="006E77ED">
            <w:pPr>
              <w:spacing w:after="85"/>
              <w:rPr>
                <w:sz w:val="20"/>
                <w:szCs w:val="20"/>
              </w:rPr>
            </w:pPr>
            <w:r>
              <w:rPr>
                <w:sz w:val="20"/>
                <w:szCs w:val="20"/>
              </w:rPr>
              <w:t>3.2</w:t>
            </w:r>
          </w:p>
          <w:p w14:paraId="7373542D" w14:textId="77777777" w:rsidR="00CB7716" w:rsidRPr="00AC07C5" w:rsidRDefault="00CB7716" w:rsidP="006E77ED">
            <w:pPr>
              <w:spacing w:after="85"/>
              <w:rPr>
                <w:sz w:val="20"/>
                <w:szCs w:val="20"/>
              </w:rPr>
            </w:pPr>
            <w:r w:rsidRPr="00356070">
              <w:rPr>
                <w:sz w:val="20"/>
                <w:szCs w:val="20"/>
              </w:rPr>
              <w:t>FSS, FHT, E</w:t>
            </w:r>
          </w:p>
        </w:tc>
        <w:tc>
          <w:tcPr>
            <w:tcW w:w="1554" w:type="dxa"/>
            <w:shd w:val="clear" w:color="auto" w:fill="FBD4B4" w:themeFill="accent6" w:themeFillTint="66"/>
          </w:tcPr>
          <w:p w14:paraId="2A713703"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875" w:type="dxa"/>
            <w:shd w:val="clear" w:color="auto" w:fill="FBD4B4" w:themeFill="accent6" w:themeFillTint="66"/>
          </w:tcPr>
          <w:p w14:paraId="545840E2"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587" w:type="dxa"/>
            <w:shd w:val="clear" w:color="auto" w:fill="FBD4B4" w:themeFill="accent6" w:themeFillTint="66"/>
          </w:tcPr>
          <w:p w14:paraId="58BE134A"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301" w:type="dxa"/>
            <w:shd w:val="clear" w:color="auto" w:fill="FBD4B4" w:themeFill="accent6" w:themeFillTint="66"/>
          </w:tcPr>
          <w:p w14:paraId="0EF6DB06"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200" w:type="dxa"/>
            <w:shd w:val="clear" w:color="auto" w:fill="FBD4B4" w:themeFill="accent6" w:themeFillTint="66"/>
          </w:tcPr>
          <w:p w14:paraId="2F3D2031"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r>
      <w:tr w:rsidR="00CB7716" w:rsidRPr="008F2D06" w14:paraId="77EADFF7" w14:textId="77777777" w:rsidTr="6A61D147">
        <w:trPr>
          <w:trHeight w:val="321"/>
        </w:trPr>
        <w:tc>
          <w:tcPr>
            <w:cnfStyle w:val="001000000000" w:firstRow="0" w:lastRow="0" w:firstColumn="1" w:lastColumn="0" w:oddVBand="0" w:evenVBand="0" w:oddHBand="0" w:evenHBand="0" w:firstRowFirstColumn="0" w:firstRowLastColumn="0" w:lastRowFirstColumn="0" w:lastRowLastColumn="0"/>
            <w:tcW w:w="8931" w:type="dxa"/>
            <w:gridSpan w:val="6"/>
            <w:vAlign w:val="center"/>
          </w:tcPr>
          <w:p w14:paraId="0420C324" w14:textId="35CA6C95" w:rsidR="00CB7716" w:rsidRPr="008F2D06" w:rsidRDefault="00CB7716" w:rsidP="006E77ED">
            <w:pPr>
              <w:spacing w:after="85"/>
              <w:rPr>
                <w:sz w:val="20"/>
                <w:szCs w:val="20"/>
              </w:rPr>
            </w:pPr>
            <w:r w:rsidRPr="6A61D147">
              <w:rPr>
                <w:b w:val="0"/>
                <w:bCs w:val="0"/>
                <w:sz w:val="20"/>
                <w:szCs w:val="20"/>
              </w:rPr>
              <w:t>Category 2 business</w:t>
            </w:r>
          </w:p>
        </w:tc>
      </w:tr>
      <w:tr w:rsidR="00CB7716" w:rsidRPr="008F2D06" w14:paraId="37FAE709" w14:textId="77777777" w:rsidTr="6A61D147">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B8CCE4" w:themeFill="accent1" w:themeFillTint="66"/>
            <w:vAlign w:val="center"/>
          </w:tcPr>
          <w:p w14:paraId="089F0729" w14:textId="02BFEB2F" w:rsidR="00CB7716" w:rsidRPr="00AC07C5" w:rsidRDefault="00CB7716" w:rsidP="006E77ED">
            <w:pPr>
              <w:spacing w:after="85"/>
              <w:rPr>
                <w:sz w:val="20"/>
                <w:szCs w:val="20"/>
              </w:rPr>
            </w:pPr>
            <w:r w:rsidRPr="00356070">
              <w:rPr>
                <w:sz w:val="20"/>
                <w:szCs w:val="20"/>
              </w:rPr>
              <w:t>3.1</w:t>
            </w:r>
          </w:p>
          <w:p w14:paraId="57E27042" w14:textId="77777777" w:rsidR="00CB7716" w:rsidRPr="00AC07C5" w:rsidRDefault="00CB7716" w:rsidP="006E77ED">
            <w:pPr>
              <w:spacing w:after="85"/>
              <w:rPr>
                <w:sz w:val="20"/>
                <w:szCs w:val="20"/>
              </w:rPr>
            </w:pPr>
            <w:r w:rsidRPr="00356070">
              <w:rPr>
                <w:sz w:val="20"/>
                <w:szCs w:val="20"/>
              </w:rPr>
              <w:t>FSS, FHT</w:t>
            </w:r>
          </w:p>
        </w:tc>
        <w:tc>
          <w:tcPr>
            <w:tcW w:w="1554" w:type="dxa"/>
            <w:shd w:val="clear" w:color="auto" w:fill="B8CCE4" w:themeFill="accent1" w:themeFillTint="66"/>
          </w:tcPr>
          <w:p w14:paraId="24F96EF1"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875" w:type="dxa"/>
            <w:shd w:val="clear" w:color="auto" w:fill="B8CCE4" w:themeFill="accent1" w:themeFillTint="66"/>
          </w:tcPr>
          <w:p w14:paraId="1021DAA9"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587" w:type="dxa"/>
            <w:shd w:val="clear" w:color="auto" w:fill="B8CCE4" w:themeFill="accent1" w:themeFillTint="66"/>
          </w:tcPr>
          <w:p w14:paraId="7DCE4754"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301" w:type="dxa"/>
            <w:shd w:val="clear" w:color="auto" w:fill="B8CCE4" w:themeFill="accent1" w:themeFillTint="66"/>
          </w:tcPr>
          <w:p w14:paraId="6D935BB9"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c>
          <w:tcPr>
            <w:tcW w:w="1200" w:type="dxa"/>
            <w:shd w:val="clear" w:color="auto" w:fill="B8CCE4" w:themeFill="accent1" w:themeFillTint="66"/>
          </w:tcPr>
          <w:p w14:paraId="4932ABF0" w14:textId="77777777" w:rsidR="00CB7716" w:rsidRPr="008F2D06" w:rsidRDefault="00CB7716" w:rsidP="006E77ED">
            <w:pPr>
              <w:spacing w:after="85"/>
              <w:jc w:val="center"/>
              <w:cnfStyle w:val="000000100000" w:firstRow="0" w:lastRow="0" w:firstColumn="0" w:lastColumn="0" w:oddVBand="0" w:evenVBand="0" w:oddHBand="1" w:evenHBand="0" w:firstRowFirstColumn="0" w:firstRowLastColumn="0" w:lastRowFirstColumn="0" w:lastRowLastColumn="0"/>
              <w:rPr>
                <w:sz w:val="20"/>
                <w:szCs w:val="20"/>
              </w:rPr>
            </w:pPr>
            <w:r w:rsidRPr="68C0CA2D">
              <w:rPr>
                <w:sz w:val="20"/>
                <w:szCs w:val="20"/>
              </w:rPr>
              <w:t>yes</w:t>
            </w:r>
          </w:p>
        </w:tc>
      </w:tr>
      <w:tr w:rsidR="00CB7716" w:rsidRPr="008F2D06" w14:paraId="3D47C8F5" w14:textId="77777777" w:rsidTr="6A61D147">
        <w:trPr>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FBD4B4" w:themeFill="accent6" w:themeFillTint="66"/>
            <w:vAlign w:val="center"/>
          </w:tcPr>
          <w:p w14:paraId="2F7E1DBC" w14:textId="77777777" w:rsidR="00CB7716" w:rsidRPr="00AC07C5" w:rsidRDefault="00CB7716" w:rsidP="006E77ED">
            <w:pPr>
              <w:spacing w:after="85"/>
              <w:rPr>
                <w:sz w:val="20"/>
                <w:szCs w:val="20"/>
              </w:rPr>
            </w:pPr>
            <w:r>
              <w:rPr>
                <w:sz w:val="20"/>
                <w:szCs w:val="20"/>
              </w:rPr>
              <w:t>3.2</w:t>
            </w:r>
          </w:p>
          <w:p w14:paraId="14478A7E" w14:textId="77777777" w:rsidR="00CB7716" w:rsidRPr="00AC07C5" w:rsidRDefault="00CB7716" w:rsidP="006E77ED">
            <w:pPr>
              <w:spacing w:after="85"/>
              <w:rPr>
                <w:sz w:val="20"/>
                <w:szCs w:val="20"/>
              </w:rPr>
            </w:pPr>
            <w:r w:rsidRPr="00356070">
              <w:rPr>
                <w:sz w:val="20"/>
                <w:szCs w:val="20"/>
              </w:rPr>
              <w:t>FSS, FHT, E</w:t>
            </w:r>
          </w:p>
        </w:tc>
        <w:tc>
          <w:tcPr>
            <w:tcW w:w="1554" w:type="dxa"/>
            <w:shd w:val="clear" w:color="auto" w:fill="FBD4B4" w:themeFill="accent6" w:themeFillTint="66"/>
          </w:tcPr>
          <w:p w14:paraId="1798CB68"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yes</w:t>
            </w:r>
          </w:p>
        </w:tc>
        <w:tc>
          <w:tcPr>
            <w:tcW w:w="1875" w:type="dxa"/>
            <w:shd w:val="clear" w:color="auto" w:fill="FBD4B4" w:themeFill="accent6" w:themeFillTint="66"/>
          </w:tcPr>
          <w:p w14:paraId="5BC02122"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uncertain</w:t>
            </w:r>
          </w:p>
        </w:tc>
        <w:tc>
          <w:tcPr>
            <w:tcW w:w="1587" w:type="dxa"/>
            <w:shd w:val="clear" w:color="auto" w:fill="FBD4B4" w:themeFill="accent6" w:themeFillTint="66"/>
          </w:tcPr>
          <w:p w14:paraId="74C3F2B6"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uncertain</w:t>
            </w:r>
          </w:p>
        </w:tc>
        <w:tc>
          <w:tcPr>
            <w:tcW w:w="1301" w:type="dxa"/>
            <w:shd w:val="clear" w:color="auto" w:fill="FBD4B4" w:themeFill="accent6" w:themeFillTint="66"/>
          </w:tcPr>
          <w:p w14:paraId="1C431666"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uncertain</w:t>
            </w:r>
          </w:p>
        </w:tc>
        <w:tc>
          <w:tcPr>
            <w:tcW w:w="1200" w:type="dxa"/>
            <w:shd w:val="clear" w:color="auto" w:fill="FBD4B4" w:themeFill="accent6" w:themeFillTint="66"/>
          </w:tcPr>
          <w:p w14:paraId="54BEF848" w14:textId="77777777" w:rsidR="00CB7716" w:rsidRPr="008F2D06" w:rsidRDefault="00CB7716" w:rsidP="006E77ED">
            <w:pPr>
              <w:spacing w:after="85"/>
              <w:jc w:val="center"/>
              <w:cnfStyle w:val="000000000000" w:firstRow="0" w:lastRow="0" w:firstColumn="0" w:lastColumn="0" w:oddVBand="0" w:evenVBand="0" w:oddHBand="0" w:evenHBand="0" w:firstRowFirstColumn="0" w:firstRowLastColumn="0" w:lastRowFirstColumn="0" w:lastRowLastColumn="0"/>
              <w:rPr>
                <w:sz w:val="20"/>
                <w:szCs w:val="20"/>
              </w:rPr>
            </w:pPr>
            <w:r w:rsidRPr="68C0CA2D">
              <w:rPr>
                <w:sz w:val="20"/>
                <w:szCs w:val="20"/>
              </w:rPr>
              <w:t>no</w:t>
            </w:r>
          </w:p>
        </w:tc>
      </w:tr>
    </w:tbl>
    <w:p w14:paraId="05F540F0" w14:textId="655D5C59" w:rsidR="00CB7716" w:rsidRDefault="00CB7716" w:rsidP="0025246D">
      <w:pPr>
        <w:pStyle w:val="Heading4"/>
        <w:numPr>
          <w:ilvl w:val="0"/>
          <w:numId w:val="0"/>
        </w:numPr>
        <w:ind w:left="864" w:hanging="864"/>
      </w:pPr>
      <w:bookmarkStart w:id="318" w:name="_Toc87600004"/>
      <w:bookmarkStart w:id="319" w:name="_Toc104808610"/>
      <w:bookmarkStart w:id="320" w:name="_Toc107412696"/>
      <w:r>
        <w:lastRenderedPageBreak/>
        <w:t>4.</w:t>
      </w:r>
      <w:r w:rsidR="0025246D">
        <w:t>5.3</w:t>
      </w:r>
      <w:r>
        <w:tab/>
        <w:t>Comparison of options and conclusion</w:t>
      </w:r>
      <w:bookmarkEnd w:id="318"/>
      <w:bookmarkEnd w:id="319"/>
      <w:bookmarkEnd w:id="320"/>
    </w:p>
    <w:p w14:paraId="2CC8FA2D" w14:textId="77777777" w:rsidR="00CB7716" w:rsidRDefault="00CB7716" w:rsidP="00B67B69">
      <w:pPr>
        <w:spacing w:after="240"/>
      </w:pPr>
      <w:r>
        <w:t>FSANZ categorised</w:t>
      </w:r>
      <w:r w:rsidRPr="0013561C">
        <w:t xml:space="preserve"> food business</w:t>
      </w:r>
      <w:r>
        <w:t>es</w:t>
      </w:r>
      <w:r w:rsidRPr="0013561C">
        <w:t xml:space="preserve"> based on risk profiling </w:t>
      </w:r>
      <w:r>
        <w:t xml:space="preserve">their </w:t>
      </w:r>
      <w:r w:rsidRPr="0013561C">
        <w:t>food handling activities and association with fo</w:t>
      </w:r>
      <w:r>
        <w:t xml:space="preserve">odborne illness outbreaks. This approach allows for graduated regulation, based on the risk the business potentially poses. </w:t>
      </w:r>
    </w:p>
    <w:p w14:paraId="353252A9" w14:textId="1188FF34" w:rsidR="00CB7716" w:rsidRDefault="00CB7716" w:rsidP="00B67B69">
      <w:pPr>
        <w:spacing w:after="240"/>
      </w:pPr>
      <w:r w:rsidRPr="0044263C">
        <w:t>The analysis above indicates that the status quo and self-regulation are not the preferred options</w:t>
      </w:r>
      <w:r>
        <w:t xml:space="preserve">. </w:t>
      </w:r>
    </w:p>
    <w:p w14:paraId="6699EDB7" w14:textId="38438521" w:rsidR="00CB7716" w:rsidRDefault="00CB7716" w:rsidP="00B67B69">
      <w:pPr>
        <w:spacing w:after="240"/>
      </w:pPr>
      <w:r>
        <w:t xml:space="preserve">The preferred option for Category 1 businesses is option 3.2, and for Category 2 businesses option 3.1 is preferred. </w:t>
      </w:r>
      <w:bookmarkEnd w:id="285"/>
      <w:bookmarkEnd w:id="286"/>
      <w:bookmarkEnd w:id="287"/>
    </w:p>
    <w:p w14:paraId="3A417AE5" w14:textId="61FB5162" w:rsidR="00CB7716" w:rsidRDefault="00CB7716" w:rsidP="00B67B69">
      <w:pPr>
        <w:spacing w:after="240"/>
      </w:pPr>
      <w:r>
        <w:t xml:space="preserve">For Category 1 businesses, both option 3.1 and 3.2 are individually well targeted in the setting. However, FSANZ considers that the package of all three tools provides a complementary effect that results in a more effective risk mitigation. </w:t>
      </w:r>
    </w:p>
    <w:p w14:paraId="7D146EDE" w14:textId="77777777" w:rsidR="00CB7716" w:rsidRDefault="00CB7716" w:rsidP="00B67B69">
      <w:pPr>
        <w:spacing w:after="240"/>
      </w:pPr>
      <w:r>
        <w:t xml:space="preserve">For Category 2 businesses, while both options provide a strong net benefit, option 3.1 focusing on skills and knowledge of food handlers would be best targeted to mitigate risk in the setting. This recognises the different food handling activities and associated risk between Category 1 and 2 businesses. </w:t>
      </w:r>
    </w:p>
    <w:p w14:paraId="13EE2606" w14:textId="77777777" w:rsidR="00CB7716" w:rsidRPr="0025246D" w:rsidRDefault="00CB7716" w:rsidP="0025246D">
      <w:pPr>
        <w:pStyle w:val="Heading2"/>
        <w:numPr>
          <w:ilvl w:val="0"/>
          <w:numId w:val="0"/>
        </w:numPr>
        <w:ind w:left="576" w:hanging="576"/>
        <w:rPr>
          <w:rStyle w:val="Heading1Char"/>
          <w:b/>
          <w:bCs/>
          <w:sz w:val="28"/>
          <w:szCs w:val="22"/>
        </w:rPr>
      </w:pPr>
      <w:bookmarkStart w:id="321" w:name="_5._Who_was"/>
      <w:bookmarkStart w:id="322" w:name="_Toc104808611"/>
      <w:bookmarkStart w:id="323" w:name="_Toc107412697"/>
      <w:bookmarkStart w:id="324" w:name="_Toc109300455"/>
      <w:bookmarkEnd w:id="321"/>
      <w:r w:rsidRPr="0025246D">
        <w:rPr>
          <w:rStyle w:val="Heading1Char"/>
          <w:b/>
          <w:bCs/>
          <w:sz w:val="28"/>
          <w:szCs w:val="22"/>
        </w:rPr>
        <w:t>5.</w:t>
      </w:r>
      <w:r w:rsidRPr="0025246D">
        <w:rPr>
          <w:rStyle w:val="Heading1Char"/>
          <w:b/>
          <w:bCs/>
          <w:sz w:val="28"/>
          <w:szCs w:val="22"/>
        </w:rPr>
        <w:tab/>
        <w:t>Who was consulted and how was their feedback incorporated?</w:t>
      </w:r>
      <w:bookmarkEnd w:id="322"/>
      <w:bookmarkEnd w:id="323"/>
      <w:bookmarkEnd w:id="324"/>
    </w:p>
    <w:p w14:paraId="323572E5" w14:textId="4456E79F" w:rsidR="00CB7716" w:rsidRPr="006B7E0B" w:rsidRDefault="00CB7716" w:rsidP="00B67B69">
      <w:pPr>
        <w:spacing w:after="240"/>
      </w:pPr>
      <w:bookmarkStart w:id="325" w:name="_Toc34227341"/>
      <w:bookmarkStart w:id="326" w:name="_Toc63258296"/>
      <w:r w:rsidRPr="68C0CA2D">
        <w:rPr>
          <w:lang w:val="en-AU"/>
        </w:rPr>
        <w:t>Consultation is a key part of FSANZ’s standards development process and is underpinned by our statutory consultation process. We consult with stakeholders to ensure we understand their business, and to seek information and advice to inform our proposal assessment and standard development.</w:t>
      </w:r>
    </w:p>
    <w:p w14:paraId="4785964E" w14:textId="4AF75A3B" w:rsidR="00CB7716" w:rsidRPr="00D852B0" w:rsidRDefault="00CB7716" w:rsidP="006D619E">
      <w:pPr>
        <w:pStyle w:val="Heading3"/>
        <w:numPr>
          <w:ilvl w:val="0"/>
          <w:numId w:val="0"/>
        </w:numPr>
        <w:ind w:left="720" w:hanging="720"/>
      </w:pPr>
      <w:bookmarkStart w:id="327" w:name="_Toc104808612"/>
      <w:bookmarkStart w:id="328" w:name="_Toc107412698"/>
      <w:bookmarkStart w:id="329" w:name="_Toc109300456"/>
      <w:r>
        <w:t>5.1</w:t>
      </w:r>
      <w:r>
        <w:tab/>
      </w:r>
      <w:r w:rsidRPr="00D852B0">
        <w:t>Who and how we consulted</w:t>
      </w:r>
      <w:bookmarkEnd w:id="327"/>
      <w:bookmarkEnd w:id="328"/>
      <w:bookmarkEnd w:id="329"/>
    </w:p>
    <w:p w14:paraId="6AE40361" w14:textId="77777777" w:rsidR="00CB7716" w:rsidRPr="00AA50BB" w:rsidRDefault="00CB7716" w:rsidP="00B67B69">
      <w:pPr>
        <w:spacing w:after="240"/>
        <w:rPr>
          <w:lang w:val="en-AU"/>
        </w:rPr>
      </w:pPr>
      <w:r>
        <w:rPr>
          <w:lang w:val="en-AU"/>
        </w:rPr>
        <w:t>A range of c</w:t>
      </w:r>
      <w:r w:rsidRPr="00AA50BB">
        <w:rPr>
          <w:lang w:val="en-AU"/>
        </w:rPr>
        <w:t xml:space="preserve">onsultation activities on this project and the proposed tools have spanned </w:t>
      </w:r>
      <w:r>
        <w:rPr>
          <w:lang w:val="en-AU"/>
        </w:rPr>
        <w:t>many</w:t>
      </w:r>
      <w:r w:rsidRPr="00AA50BB">
        <w:rPr>
          <w:lang w:val="en-AU"/>
        </w:rPr>
        <w:t xml:space="preserve"> years</w:t>
      </w:r>
      <w:r>
        <w:rPr>
          <w:lang w:val="en-AU"/>
        </w:rPr>
        <w:t>,</w:t>
      </w:r>
      <w:r w:rsidRPr="00AA50BB">
        <w:rPr>
          <w:lang w:val="en-AU"/>
        </w:rPr>
        <w:t xml:space="preserve"> </w:t>
      </w:r>
      <w:r>
        <w:rPr>
          <w:lang w:val="en-AU"/>
        </w:rPr>
        <w:t>ensuring</w:t>
      </w:r>
      <w:r w:rsidRPr="00AA50BB">
        <w:rPr>
          <w:lang w:val="en-AU"/>
        </w:rPr>
        <w:t xml:space="preserve"> all viable options have been </w:t>
      </w:r>
      <w:r>
        <w:rPr>
          <w:lang w:val="en-AU"/>
        </w:rPr>
        <w:t xml:space="preserve">carefully </w:t>
      </w:r>
      <w:r w:rsidRPr="00AA50BB">
        <w:rPr>
          <w:lang w:val="en-AU"/>
        </w:rPr>
        <w:t xml:space="preserve">considered. </w:t>
      </w:r>
      <w:r>
        <w:rPr>
          <w:lang w:val="en-AU"/>
        </w:rPr>
        <w:t>C</w:t>
      </w:r>
      <w:r w:rsidRPr="00AA50BB">
        <w:rPr>
          <w:lang w:val="en-AU"/>
        </w:rPr>
        <w:t>onsultations were held with over 400 stakeholders including local government, representatives of food businesses covered by the policy guideline (caterers, restaurants, clubs, cafes, supermarkets), industry bodies (i.e. Restaurant and Caterers’ Australia, Australian Hotels Association, Clubs Australia), providers of afterschool care and registered training organisations. Workshops were held face</w:t>
      </w:r>
      <w:r>
        <w:rPr>
          <w:lang w:val="en-AU"/>
        </w:rPr>
        <w:t xml:space="preserve"> </w:t>
      </w:r>
      <w:r w:rsidRPr="00AA50BB">
        <w:rPr>
          <w:lang w:val="en-AU"/>
        </w:rPr>
        <w:t>to</w:t>
      </w:r>
      <w:r>
        <w:rPr>
          <w:lang w:val="en-AU"/>
        </w:rPr>
        <w:t xml:space="preserve"> </w:t>
      </w:r>
      <w:r w:rsidRPr="00AA50BB">
        <w:rPr>
          <w:lang w:val="en-AU"/>
        </w:rPr>
        <w:t>face</w:t>
      </w:r>
      <w:r>
        <w:rPr>
          <w:lang w:val="en-AU"/>
        </w:rPr>
        <w:t>,</w:t>
      </w:r>
      <w:r w:rsidRPr="00AA50BB">
        <w:rPr>
          <w:lang w:val="en-AU"/>
        </w:rPr>
        <w:t xml:space="preserve"> and stakeholder feedback was sought via online surveys. </w:t>
      </w:r>
    </w:p>
    <w:p w14:paraId="4862804C" w14:textId="621C5D35" w:rsidR="00CB7716" w:rsidRDefault="00CB7716" w:rsidP="00B67B69">
      <w:pPr>
        <w:spacing w:after="240"/>
        <w:rPr>
          <w:lang w:val="en-AU"/>
        </w:rPr>
      </w:pPr>
      <w:r w:rsidRPr="68C0CA2D">
        <w:rPr>
          <w:lang w:val="en-AU"/>
        </w:rPr>
        <w:t xml:space="preserve">The use of online surveys more recently addressed the challenges with stakeholder engagement during the COVID-19 pandemic, ensuring the effectiveness of any regulatory measures proposed. We received 328 responses to our targeted online survey, including at least 117 from in-scope businesses and industry associations (it was not compulsory to </w:t>
      </w:r>
      <w:r w:rsidRPr="48861835">
        <w:rPr>
          <w:lang w:val="en-AU"/>
        </w:rPr>
        <w:t>provide</w:t>
      </w:r>
      <w:r w:rsidRPr="68C0CA2D">
        <w:rPr>
          <w:lang w:val="en-AU"/>
        </w:rPr>
        <w:t xml:space="preserve"> this information and some respondents did not answer). We reached out to small-to-medium enterprises and used existing mechanisms to engage with businesses in each jurisdiction.</w:t>
      </w:r>
    </w:p>
    <w:p w14:paraId="05E0B85B" w14:textId="5876B283" w:rsidR="00CB7716" w:rsidRPr="002C4D15" w:rsidRDefault="00CB7716" w:rsidP="00B67B69">
      <w:pPr>
        <w:spacing w:after="240"/>
        <w:rPr>
          <w:color w:val="000000" w:themeColor="text1"/>
        </w:rPr>
      </w:pPr>
      <w:r w:rsidRPr="48861835">
        <w:rPr>
          <w:color w:val="000000" w:themeColor="text1"/>
          <w:lang w:val="en-AU"/>
        </w:rPr>
        <w:t xml:space="preserve">A call for submissions (CFS) report to consult on the proposed draft </w:t>
      </w:r>
      <w:r>
        <w:rPr>
          <w:color w:val="000000" w:themeColor="text1"/>
          <w:lang w:val="en-AU"/>
        </w:rPr>
        <w:t>s</w:t>
      </w:r>
      <w:r w:rsidRPr="48861835">
        <w:rPr>
          <w:color w:val="000000" w:themeColor="text1"/>
          <w:lang w:val="en-AU"/>
        </w:rPr>
        <w:t xml:space="preserve">tandard was released 14 Feb 2022 for a period of eight weeks, then extended by another week at stakeholder's request. In total, 44 responses were received from stakeholders including state/territory and local governments, industry associations, special interest groups and individual businesses (training services and equipment providers). </w:t>
      </w:r>
    </w:p>
    <w:p w14:paraId="190D3F3F" w14:textId="699515D9" w:rsidR="00CB7716" w:rsidRPr="00143B41" w:rsidRDefault="00CB7716" w:rsidP="006D619E">
      <w:pPr>
        <w:pStyle w:val="Heading3"/>
        <w:numPr>
          <w:ilvl w:val="0"/>
          <w:numId w:val="0"/>
        </w:numPr>
        <w:ind w:left="720" w:hanging="720"/>
      </w:pPr>
      <w:bookmarkStart w:id="330" w:name="_Toc104808613"/>
      <w:bookmarkStart w:id="331" w:name="_Toc107412699"/>
      <w:bookmarkStart w:id="332" w:name="_Toc109300457"/>
      <w:r w:rsidRPr="48861835">
        <w:t>5.2</w:t>
      </w:r>
      <w:r>
        <w:tab/>
      </w:r>
      <w:r w:rsidRPr="48861835">
        <w:t>Stakeholder views</w:t>
      </w:r>
      <w:bookmarkEnd w:id="330"/>
      <w:bookmarkEnd w:id="331"/>
      <w:bookmarkEnd w:id="332"/>
    </w:p>
    <w:p w14:paraId="2C40129A" w14:textId="2D325F27" w:rsidR="00CB7716" w:rsidRDefault="00CB7716" w:rsidP="00B67B69">
      <w:pPr>
        <w:spacing w:after="240"/>
        <w:rPr>
          <w:lang w:val="en-AU"/>
        </w:rPr>
      </w:pPr>
      <w:r w:rsidRPr="48861835">
        <w:rPr>
          <w:lang w:val="en-AU"/>
        </w:rPr>
        <w:t xml:space="preserve">Experiences and views have been sought on existing issues and tools, which additional </w:t>
      </w:r>
      <w:r w:rsidRPr="48861835">
        <w:rPr>
          <w:lang w:val="en-AU"/>
        </w:rPr>
        <w:lastRenderedPageBreak/>
        <w:t>measures are likely to have the greatest impact on food safety outcomes</w:t>
      </w:r>
      <w:r>
        <w:rPr>
          <w:lang w:val="en-AU"/>
        </w:rPr>
        <w:t xml:space="preserve"> and the proposed draft s</w:t>
      </w:r>
      <w:r w:rsidRPr="48861835">
        <w:rPr>
          <w:lang w:val="en-AU"/>
        </w:rPr>
        <w:t xml:space="preserve">tandard. </w:t>
      </w:r>
      <w:r w:rsidRPr="68C0CA2D">
        <w:rPr>
          <w:lang w:val="en-AU"/>
        </w:rPr>
        <w:t xml:space="preserve">There was a strong and consistent view from all stakeholders that food safety remains a problem in the food service and related retail sectors. </w:t>
      </w:r>
    </w:p>
    <w:p w14:paraId="3116790F" w14:textId="77777777" w:rsidR="00CB7716" w:rsidRPr="00AA50BB" w:rsidRDefault="00CB7716" w:rsidP="00B67B69">
      <w:pPr>
        <w:spacing w:after="240"/>
        <w:rPr>
          <w:lang w:val="en-AU"/>
        </w:rPr>
      </w:pPr>
      <w:r w:rsidRPr="68C0CA2D">
        <w:rPr>
          <w:lang w:val="en-AU"/>
        </w:rPr>
        <w:t xml:space="preserve">Generally, industry stakeholders have been supportive of </w:t>
      </w:r>
      <w:r w:rsidRPr="48861835">
        <w:rPr>
          <w:lang w:val="en-AU"/>
        </w:rPr>
        <w:t>national</w:t>
      </w:r>
      <w:r w:rsidRPr="68C0CA2D">
        <w:rPr>
          <w:lang w:val="en-AU"/>
        </w:rPr>
        <w:t xml:space="preserve"> regulatory measures in the Code, provided the following points are considered:</w:t>
      </w:r>
    </w:p>
    <w:p w14:paraId="462F097E" w14:textId="3C700733" w:rsidR="00CB7716" w:rsidRPr="00B67B69" w:rsidRDefault="00B67B69" w:rsidP="00614AF5">
      <w:pPr>
        <w:pStyle w:val="ListParagraph"/>
        <w:numPr>
          <w:ilvl w:val="0"/>
          <w:numId w:val="86"/>
        </w:numPr>
        <w:spacing w:after="240"/>
        <w:rPr>
          <w:lang w:val="en-AU"/>
        </w:rPr>
      </w:pPr>
      <w:r>
        <w:rPr>
          <w:lang w:val="en-AU"/>
        </w:rPr>
        <w:t>r</w:t>
      </w:r>
      <w:r w:rsidR="00CB7716" w:rsidRPr="00B67B69">
        <w:rPr>
          <w:lang w:val="en-AU"/>
        </w:rPr>
        <w:t>egulatory measures are just</w:t>
      </w:r>
      <w:r>
        <w:rPr>
          <w:lang w:val="en-AU"/>
        </w:rPr>
        <w:t>ified and proportionate to risk</w:t>
      </w:r>
    </w:p>
    <w:p w14:paraId="158C06D6" w14:textId="47672890" w:rsidR="00CB7716" w:rsidRPr="00B67B69" w:rsidRDefault="00B67B69" w:rsidP="00614AF5">
      <w:pPr>
        <w:pStyle w:val="ListParagraph"/>
        <w:numPr>
          <w:ilvl w:val="0"/>
          <w:numId w:val="86"/>
        </w:numPr>
        <w:spacing w:after="240"/>
        <w:rPr>
          <w:lang w:val="en-AU"/>
        </w:rPr>
      </w:pPr>
      <w:r>
        <w:rPr>
          <w:lang w:val="en-AU"/>
        </w:rPr>
        <w:t>t</w:t>
      </w:r>
      <w:r w:rsidR="00CB7716" w:rsidRPr="00B67B69">
        <w:rPr>
          <w:lang w:val="en-AU"/>
        </w:rPr>
        <w:t>raining for food handlers and FSS needs to be up-to-date, meet the intended purpose and take into account literacy, language and numeracy levels of the diverse staff working in food service businesses</w:t>
      </w:r>
    </w:p>
    <w:p w14:paraId="37EEEDF9" w14:textId="0B7425A8" w:rsidR="00CB7716" w:rsidRPr="00B67B69" w:rsidRDefault="00B67B69" w:rsidP="00614AF5">
      <w:pPr>
        <w:pStyle w:val="ListParagraph"/>
        <w:numPr>
          <w:ilvl w:val="0"/>
          <w:numId w:val="86"/>
        </w:numPr>
        <w:spacing w:after="240"/>
        <w:rPr>
          <w:lang w:val="en-AU"/>
        </w:rPr>
      </w:pPr>
      <w:r>
        <w:rPr>
          <w:lang w:val="en-AU"/>
        </w:rPr>
        <w:t>a</w:t>
      </w:r>
      <w:r w:rsidR="00CB7716" w:rsidRPr="00B67B69">
        <w:rPr>
          <w:lang w:val="en-AU"/>
        </w:rPr>
        <w:t xml:space="preserve"> mechanism is needed to regulate and monitor the quality of training provided</w:t>
      </w:r>
      <w:r w:rsidR="00CB7716" w:rsidRPr="00B67B69" w:rsidDel="009473FD">
        <w:rPr>
          <w:lang w:val="en-AU"/>
        </w:rPr>
        <w:t xml:space="preserve"> </w:t>
      </w:r>
      <w:r w:rsidR="00CB7716" w:rsidRPr="00B67B69">
        <w:rPr>
          <w:lang w:val="en-AU"/>
        </w:rPr>
        <w:t>by registered training organisations</w:t>
      </w:r>
    </w:p>
    <w:p w14:paraId="642C4611" w14:textId="52BC079A" w:rsidR="00CB7716" w:rsidRPr="00B67B69" w:rsidRDefault="00B67B69" w:rsidP="00614AF5">
      <w:pPr>
        <w:pStyle w:val="ListParagraph"/>
        <w:numPr>
          <w:ilvl w:val="0"/>
          <w:numId w:val="86"/>
        </w:numPr>
        <w:spacing w:after="240"/>
        <w:rPr>
          <w:lang w:val="en-AU"/>
        </w:rPr>
      </w:pPr>
      <w:r>
        <w:rPr>
          <w:lang w:val="en-AU"/>
        </w:rPr>
        <w:t>f</w:t>
      </w:r>
      <w:r w:rsidR="00CB7716" w:rsidRPr="00B67B69">
        <w:rPr>
          <w:lang w:val="en-AU"/>
        </w:rPr>
        <w:t>lexible and simple templates</w:t>
      </w:r>
      <w:r w:rsidR="00CB7716" w:rsidRPr="00B67B69" w:rsidDel="00971811">
        <w:rPr>
          <w:lang w:val="en-AU"/>
        </w:rPr>
        <w:t xml:space="preserve"> </w:t>
      </w:r>
      <w:r w:rsidR="00CB7716" w:rsidRPr="00B67B69">
        <w:rPr>
          <w:lang w:val="en-AU"/>
        </w:rPr>
        <w:t>need to be used to implement a graduated, activity-based, risk management approach to evidence-keeping measures</w:t>
      </w:r>
    </w:p>
    <w:p w14:paraId="1188E780" w14:textId="1D6F0037" w:rsidR="00CB7716" w:rsidRPr="00B67B69" w:rsidRDefault="00B67B69" w:rsidP="00614AF5">
      <w:pPr>
        <w:pStyle w:val="ListParagraph"/>
        <w:numPr>
          <w:ilvl w:val="0"/>
          <w:numId w:val="86"/>
        </w:numPr>
        <w:spacing w:after="240"/>
        <w:rPr>
          <w:lang w:val="en-AU"/>
        </w:rPr>
      </w:pPr>
      <w:r>
        <w:rPr>
          <w:lang w:val="en-AU"/>
        </w:rPr>
        <w:t>n</w:t>
      </w:r>
      <w:r w:rsidR="00CB7716" w:rsidRPr="00B67B69">
        <w:rPr>
          <w:lang w:val="en-AU"/>
        </w:rPr>
        <w:t>on-regulatory tools need to be developed to support regulatory tools.</w:t>
      </w:r>
      <w:r w:rsidR="00CB7716" w:rsidRPr="00B67B69" w:rsidDel="00971811">
        <w:rPr>
          <w:lang w:val="en-AU"/>
        </w:rPr>
        <w:t xml:space="preserve"> </w:t>
      </w:r>
    </w:p>
    <w:p w14:paraId="4C25CD80" w14:textId="4182E09D" w:rsidR="00CB7716" w:rsidRDefault="00CB7716" w:rsidP="00B67B69">
      <w:pPr>
        <w:spacing w:after="240"/>
        <w:rPr>
          <w:lang w:val="en-AU"/>
        </w:rPr>
      </w:pPr>
      <w:r w:rsidRPr="68C0CA2D">
        <w:rPr>
          <w:lang w:val="en-AU"/>
        </w:rPr>
        <w:t>In submissi</w:t>
      </w:r>
      <w:r>
        <w:rPr>
          <w:lang w:val="en-AU"/>
        </w:rPr>
        <w:t>ons to the CFS on the proposed s</w:t>
      </w:r>
      <w:r w:rsidRPr="68C0CA2D">
        <w:rPr>
          <w:lang w:val="en-AU"/>
        </w:rPr>
        <w:t>tandard, over all there was broad support for FSANZ’s preferred option of graduated regulation together with non-regulatory resources. Many stakeholders agreed the proposed measures should improve food safety culture, skills, knowledge and food safety practices and reduce foodborne illness. There was also strong support for a nationally consistent approach to the regulation, tools and resources. Three submissions rejected the proposed approach, largely based on specific interests beyond the scope of the proposal.</w:t>
      </w:r>
    </w:p>
    <w:p w14:paraId="61498396" w14:textId="503BF063" w:rsidR="00CB7716" w:rsidRDefault="00CB7716" w:rsidP="00B67B69">
      <w:pPr>
        <w:spacing w:after="240"/>
        <w:rPr>
          <w:lang w:val="en-AU"/>
        </w:rPr>
      </w:pPr>
      <w:r w:rsidRPr="68C0CA2D">
        <w:rPr>
          <w:lang w:val="en-AU"/>
        </w:rPr>
        <w:t xml:space="preserve">Most submissions to the CFS were from local councils, who included concerns about specific implementation matters should the standards be introduced. They expressed a strong need for clear, timely training and guidance on the business categorisation, regulatory requirements and enforcement. Some were concerned about the extra time, effort and cost the new measures would impose on regulators as well as businesses, especially small businesses. </w:t>
      </w:r>
    </w:p>
    <w:p w14:paraId="5C49F465" w14:textId="77777777" w:rsidR="00CB7716" w:rsidRPr="002C4D15" w:rsidRDefault="00CB7716" w:rsidP="00B67B69">
      <w:pPr>
        <w:spacing w:after="240"/>
        <w:rPr>
          <w:lang w:val="en-AU"/>
        </w:rPr>
      </w:pPr>
      <w:r w:rsidRPr="68C0CA2D">
        <w:rPr>
          <w:lang w:val="en-AU"/>
        </w:rPr>
        <w:t>Feedback on the three regulatory tools included:</w:t>
      </w:r>
    </w:p>
    <w:p w14:paraId="1C31BDE8" w14:textId="77777777" w:rsidR="00CB7716" w:rsidRPr="002C4D15" w:rsidRDefault="00CB7716" w:rsidP="00B67B69">
      <w:pPr>
        <w:spacing w:after="240"/>
        <w:rPr>
          <w:lang w:val="en-AU"/>
        </w:rPr>
      </w:pPr>
      <w:r w:rsidRPr="00B67B69">
        <w:rPr>
          <w:b/>
          <w:lang w:val="en-AU"/>
        </w:rPr>
        <w:t>FSS</w:t>
      </w:r>
      <w:r w:rsidRPr="68C0CA2D">
        <w:rPr>
          <w:lang w:val="en-AU"/>
        </w:rPr>
        <w:t xml:space="preserve"> – Training should be standardised, accessible (considering languages, remote access, face-to-face and online options), and regularly refreshed (e.g. 3-5 years)</w:t>
      </w:r>
    </w:p>
    <w:p w14:paraId="42DC742F" w14:textId="77777777" w:rsidR="00B67B69" w:rsidRDefault="00CB7716" w:rsidP="00B67B69">
      <w:pPr>
        <w:spacing w:after="240"/>
        <w:rPr>
          <w:lang w:val="en-AU"/>
        </w:rPr>
      </w:pPr>
      <w:r w:rsidRPr="00B67B69">
        <w:rPr>
          <w:b/>
          <w:lang w:val="en-AU"/>
        </w:rPr>
        <w:t>FHT</w:t>
      </w:r>
      <w:r w:rsidRPr="68C0CA2D">
        <w:rPr>
          <w:lang w:val="en-AU"/>
        </w:rPr>
        <w:t xml:space="preserve"> – Training should be standardised with the potential to be tailored for specific food handling activities (e.g. sous vide), accessible (as above) and free for councils and businesses. Tools are needed (or training certificates required) to help regulators assess the adequacy of training. Some submissions raised the need for regular refresher training.</w:t>
      </w:r>
    </w:p>
    <w:p w14:paraId="659A24CB" w14:textId="22E4E972" w:rsidR="00CB7716" w:rsidRPr="002C4D15" w:rsidRDefault="00CB7716" w:rsidP="00B67B69">
      <w:pPr>
        <w:spacing w:after="240"/>
        <w:rPr>
          <w:lang w:val="en-AU"/>
        </w:rPr>
      </w:pPr>
      <w:r w:rsidRPr="00B67B69">
        <w:rPr>
          <w:b/>
          <w:lang w:val="en-AU"/>
        </w:rPr>
        <w:t>E requirement</w:t>
      </w:r>
      <w:r w:rsidRPr="68C0CA2D">
        <w:rPr>
          <w:lang w:val="en-AU"/>
        </w:rPr>
        <w:t xml:space="preserve"> – Guidance is needed on what evidence is required, and tools should be readily available (e.g. tailored templates) for businesses.</w:t>
      </w:r>
    </w:p>
    <w:p w14:paraId="65826DBD" w14:textId="6F91E72D" w:rsidR="00CB7716" w:rsidRPr="002C4D15" w:rsidRDefault="00CB7716" w:rsidP="00B67B69">
      <w:pPr>
        <w:spacing w:after="240"/>
        <w:rPr>
          <w:lang w:val="en-AU"/>
        </w:rPr>
      </w:pPr>
      <w:r w:rsidRPr="68C0CA2D">
        <w:rPr>
          <w:lang w:val="en-AU"/>
        </w:rPr>
        <w:t xml:space="preserve">Some answers to the questions posed in the call for submissions were provided, and limited information and statistics were provided on business numbers, classification and auditing. </w:t>
      </w:r>
    </w:p>
    <w:p w14:paraId="57B8DE60" w14:textId="29718984" w:rsidR="00CB7716" w:rsidRPr="00143B41" w:rsidRDefault="00CB7716" w:rsidP="006D619E">
      <w:pPr>
        <w:pStyle w:val="Heading3"/>
        <w:numPr>
          <w:ilvl w:val="0"/>
          <w:numId w:val="0"/>
        </w:numPr>
        <w:ind w:left="720" w:hanging="720"/>
      </w:pPr>
      <w:bookmarkStart w:id="333" w:name="_Toc104808614"/>
      <w:bookmarkStart w:id="334" w:name="_Toc107412700"/>
      <w:bookmarkStart w:id="335" w:name="_Toc109300458"/>
      <w:r>
        <w:t>5.3</w:t>
      </w:r>
      <w:r>
        <w:tab/>
      </w:r>
      <w:r w:rsidRPr="00143B41">
        <w:t>How we incorporated feedback</w:t>
      </w:r>
      <w:bookmarkEnd w:id="333"/>
      <w:bookmarkEnd w:id="334"/>
      <w:bookmarkEnd w:id="335"/>
    </w:p>
    <w:p w14:paraId="6A37E63C" w14:textId="77777777" w:rsidR="00CB7716" w:rsidRPr="00AA50BB" w:rsidRDefault="00CB7716" w:rsidP="00B67B69">
      <w:pPr>
        <w:spacing w:after="240"/>
        <w:rPr>
          <w:color w:val="000000" w:themeColor="text1"/>
          <w:lang w:val="en-AU"/>
        </w:rPr>
      </w:pPr>
      <w:r w:rsidRPr="68C0CA2D">
        <w:rPr>
          <w:lang w:val="en-AU"/>
        </w:rPr>
        <w:t xml:space="preserve">Stakeholder feedback throughout the proposal enabled FSANZ to further evaluate and refine options, to present a package of regulatory and non-regulatory </w:t>
      </w:r>
      <w:r w:rsidRPr="48861835">
        <w:rPr>
          <w:lang w:val="en-AU"/>
        </w:rPr>
        <w:t xml:space="preserve">measures </w:t>
      </w:r>
      <w:r w:rsidRPr="68C0CA2D">
        <w:rPr>
          <w:lang w:val="en-AU"/>
        </w:rPr>
        <w:t xml:space="preserve">in the </w:t>
      </w:r>
      <w:r w:rsidRPr="48861835">
        <w:rPr>
          <w:lang w:val="en-AU"/>
        </w:rPr>
        <w:t xml:space="preserve">CFS </w:t>
      </w:r>
      <w:r w:rsidRPr="48861835">
        <w:rPr>
          <w:color w:val="000000" w:themeColor="text1"/>
          <w:lang w:val="en-AU"/>
        </w:rPr>
        <w:t xml:space="preserve">report. Feedback provided in response to the CFS was considered in </w:t>
      </w:r>
      <w:r w:rsidRPr="68C0CA2D">
        <w:rPr>
          <w:color w:val="000000" w:themeColor="text1"/>
          <w:lang w:val="en-AU"/>
        </w:rPr>
        <w:t xml:space="preserve">our </w:t>
      </w:r>
      <w:r w:rsidRPr="48861835">
        <w:rPr>
          <w:color w:val="000000" w:themeColor="text1"/>
          <w:lang w:val="en-AU"/>
        </w:rPr>
        <w:t>final analysis.</w:t>
      </w:r>
    </w:p>
    <w:p w14:paraId="7D887212" w14:textId="5D4C96FA" w:rsidR="00CB7716" w:rsidRDefault="00CB7716" w:rsidP="00B67B69">
      <w:pPr>
        <w:spacing w:after="240"/>
        <w:rPr>
          <w:color w:val="000000" w:themeColor="text1"/>
          <w:lang w:val="en-AU"/>
        </w:rPr>
      </w:pPr>
      <w:r w:rsidRPr="68C0CA2D">
        <w:rPr>
          <w:color w:val="000000" w:themeColor="text1"/>
          <w:lang w:val="en-AU"/>
        </w:rPr>
        <w:t xml:space="preserve">We have targeted regulatory measures to our risk profiling of businesses, based on the </w:t>
      </w:r>
      <w:r w:rsidRPr="68C0CA2D">
        <w:rPr>
          <w:color w:val="000000" w:themeColor="text1"/>
          <w:lang w:val="en-AU"/>
        </w:rPr>
        <w:lastRenderedPageBreak/>
        <w:t xml:space="preserve">relative risk of their food handling activities. </w:t>
      </w:r>
    </w:p>
    <w:p w14:paraId="768D1A6A" w14:textId="04AB9DA8" w:rsidR="00CB7716" w:rsidRDefault="00CB7716" w:rsidP="00B67B69">
      <w:pPr>
        <w:spacing w:after="240"/>
        <w:rPr>
          <w:color w:val="000000" w:themeColor="text1"/>
          <w:lang w:val="en-AU"/>
        </w:rPr>
      </w:pPr>
      <w:r w:rsidRPr="68C0CA2D">
        <w:rPr>
          <w:color w:val="000000" w:themeColor="text1"/>
          <w:lang w:val="en-AU"/>
        </w:rPr>
        <w:t>Industry’s primary concern is minimising the burden and cost on businesses of introducing new regulatory tools. Local government is similarly concerned with limiting the additional burden on already stretched EHO’s, as well as ensuring guidance and training is provided to assist consistent enforcement.</w:t>
      </w:r>
    </w:p>
    <w:p w14:paraId="1E3B5AB5" w14:textId="77777777" w:rsidR="00CB7716" w:rsidRPr="00AA50BB" w:rsidRDefault="00CB7716" w:rsidP="00B67B69">
      <w:pPr>
        <w:spacing w:after="240"/>
        <w:rPr>
          <w:lang w:val="en-AU"/>
        </w:rPr>
      </w:pPr>
      <w:r w:rsidRPr="68C0CA2D">
        <w:rPr>
          <w:lang w:val="en-AU"/>
        </w:rPr>
        <w:t>In response, FSANZ has proposed a 12-month commencement period. We have</w:t>
      </w:r>
      <w:r w:rsidRPr="68C0CA2D" w:rsidDel="007C3E95">
        <w:rPr>
          <w:lang w:val="en-AU"/>
        </w:rPr>
        <w:t xml:space="preserve"> </w:t>
      </w:r>
      <w:r w:rsidRPr="68C0CA2D">
        <w:rPr>
          <w:lang w:val="en-AU"/>
        </w:rPr>
        <w:t>ensured our preferred options (section 6) are appropriate to the regulatory context. We will also work with jurisdictions to provide appropriate guidance on the new requirements, if gazetted.</w:t>
      </w:r>
    </w:p>
    <w:p w14:paraId="66139184" w14:textId="77777777" w:rsidR="00CB7716" w:rsidRPr="0025246D" w:rsidRDefault="00CB7716" w:rsidP="0025246D">
      <w:pPr>
        <w:pStyle w:val="Heading2"/>
        <w:numPr>
          <w:ilvl w:val="0"/>
          <w:numId w:val="0"/>
        </w:numPr>
        <w:ind w:left="576" w:hanging="576"/>
        <w:rPr>
          <w:rStyle w:val="Heading1Char"/>
          <w:b/>
          <w:bCs/>
          <w:sz w:val="28"/>
          <w:szCs w:val="22"/>
        </w:rPr>
      </w:pPr>
      <w:bookmarkStart w:id="336" w:name="_Toc104808615"/>
      <w:bookmarkStart w:id="337" w:name="_Toc107412701"/>
      <w:bookmarkStart w:id="338" w:name="_Toc109300459"/>
      <w:bookmarkEnd w:id="325"/>
      <w:bookmarkEnd w:id="326"/>
      <w:r w:rsidRPr="0025246D">
        <w:rPr>
          <w:rStyle w:val="Heading1Char"/>
          <w:b/>
          <w:bCs/>
          <w:sz w:val="28"/>
          <w:szCs w:val="22"/>
        </w:rPr>
        <w:t>6.</w:t>
      </w:r>
      <w:r w:rsidRPr="0025246D">
        <w:rPr>
          <w:rStyle w:val="Heading1Char"/>
          <w:b/>
          <w:bCs/>
          <w:sz w:val="28"/>
          <w:szCs w:val="22"/>
        </w:rPr>
        <w:tab/>
        <w:t>What is the best option from those considered?</w:t>
      </w:r>
      <w:bookmarkEnd w:id="336"/>
      <w:bookmarkEnd w:id="337"/>
      <w:bookmarkEnd w:id="338"/>
    </w:p>
    <w:p w14:paraId="17C264E6" w14:textId="77777777" w:rsidR="00CB7716" w:rsidRPr="00854149" w:rsidRDefault="00CB7716" w:rsidP="00B67B69">
      <w:pPr>
        <w:spacing w:after="240"/>
      </w:pPr>
      <w:r w:rsidRPr="68C0CA2D">
        <w:t>FSANZ’s</w:t>
      </w:r>
      <w:r w:rsidRPr="68C0CA2D" w:rsidDel="00430DDF">
        <w:t xml:space="preserve"> </w:t>
      </w:r>
      <w:r w:rsidRPr="68C0CA2D">
        <w:t>chosen option is a targeted regulatory approach that applies food safety management tools based on risk, cost–benefit and appropriateness:</w:t>
      </w:r>
      <w:r w:rsidRPr="68C0CA2D" w:rsidDel="00AE5BE3">
        <w:t xml:space="preserve"> </w:t>
      </w:r>
    </w:p>
    <w:p w14:paraId="17A58D45" w14:textId="77777777" w:rsidR="00CB7716" w:rsidRPr="00854149" w:rsidRDefault="00CB7716" w:rsidP="00614AF5">
      <w:pPr>
        <w:pStyle w:val="ListParagraph"/>
        <w:numPr>
          <w:ilvl w:val="0"/>
          <w:numId w:val="87"/>
        </w:numPr>
        <w:spacing w:after="240"/>
      </w:pPr>
      <w:r w:rsidRPr="00DA5DD7">
        <w:rPr>
          <w:b/>
        </w:rPr>
        <w:t>Option 3.2</w:t>
      </w:r>
      <w:r w:rsidRPr="00854149">
        <w:t xml:space="preserve"> for Category 1</w:t>
      </w:r>
      <w:r>
        <w:t xml:space="preserve"> businesses</w:t>
      </w:r>
    </w:p>
    <w:p w14:paraId="45294F02" w14:textId="77777777" w:rsidR="00CB7716" w:rsidRPr="00854149" w:rsidRDefault="00CB7716" w:rsidP="00614AF5">
      <w:pPr>
        <w:pStyle w:val="ListParagraph"/>
        <w:numPr>
          <w:ilvl w:val="0"/>
          <w:numId w:val="87"/>
        </w:numPr>
        <w:spacing w:after="240"/>
      </w:pPr>
      <w:r w:rsidRPr="00DA5DD7">
        <w:rPr>
          <w:b/>
        </w:rPr>
        <w:t>Option 3.1</w:t>
      </w:r>
      <w:r w:rsidRPr="00854149">
        <w:t xml:space="preserve"> for Category 2</w:t>
      </w:r>
      <w:r>
        <w:t xml:space="preserve"> businesses</w:t>
      </w:r>
    </w:p>
    <w:p w14:paraId="5CC8C961" w14:textId="77777777" w:rsidR="00CB7716" w:rsidRPr="00854149" w:rsidRDefault="00CB7716" w:rsidP="00614AF5">
      <w:pPr>
        <w:pStyle w:val="ListParagraph"/>
        <w:numPr>
          <w:ilvl w:val="0"/>
          <w:numId w:val="87"/>
        </w:numPr>
        <w:spacing w:after="240"/>
      </w:pPr>
      <w:r w:rsidRPr="00DA5DD7">
        <w:rPr>
          <w:b/>
        </w:rPr>
        <w:t>No additional regulatory measures</w:t>
      </w:r>
      <w:r w:rsidRPr="00854149">
        <w:t xml:space="preserve"> for Category 3. </w:t>
      </w:r>
    </w:p>
    <w:p w14:paraId="14ED1457" w14:textId="62D1F77C" w:rsidR="00CB7716" w:rsidRDefault="00CB7716" w:rsidP="00B67B69">
      <w:pPr>
        <w:spacing w:after="240"/>
        <w:rPr>
          <w:lang w:val="en-AU"/>
        </w:rPr>
      </w:pPr>
      <w:r>
        <w:rPr>
          <w:lang w:val="en-AU"/>
        </w:rPr>
        <w:t>With this approach</w:t>
      </w:r>
      <w:r w:rsidRPr="00854149">
        <w:rPr>
          <w:lang w:val="en-AU"/>
        </w:rPr>
        <w:t xml:space="preserve">, regulatory obligations placed on a food business are proportionately matched to the risk </w:t>
      </w:r>
      <w:r>
        <w:rPr>
          <w:lang w:val="en-AU"/>
        </w:rPr>
        <w:t xml:space="preserve">of </w:t>
      </w:r>
      <w:r w:rsidRPr="00854149">
        <w:rPr>
          <w:lang w:val="en-AU"/>
        </w:rPr>
        <w:t>the</w:t>
      </w:r>
      <w:r>
        <w:rPr>
          <w:lang w:val="en-AU"/>
        </w:rPr>
        <w:t>ir</w:t>
      </w:r>
      <w:r w:rsidRPr="00854149">
        <w:rPr>
          <w:lang w:val="en-AU"/>
        </w:rPr>
        <w:t xml:space="preserve"> activities</w:t>
      </w:r>
      <w:r>
        <w:rPr>
          <w:lang w:val="en-AU"/>
        </w:rPr>
        <w:t xml:space="preserve"> and provide a strong net benefit. </w:t>
      </w:r>
      <w:r w:rsidRPr="002F2193">
        <w:t>The</w:t>
      </w:r>
      <w:r>
        <w:t>y</w:t>
      </w:r>
      <w:r w:rsidRPr="002F2193">
        <w:t xml:space="preserve"> would be supported by non-regulatory tools that focus on food safety culture and education. </w:t>
      </w:r>
      <w:r>
        <w:rPr>
          <w:lang w:val="en-AU"/>
        </w:rPr>
        <w:t>Further details are provided below.</w:t>
      </w:r>
    </w:p>
    <w:p w14:paraId="663217A2" w14:textId="4BC71B36" w:rsidR="00CB7716" w:rsidRPr="00DA5DD7" w:rsidRDefault="00CB7716" w:rsidP="00DA5DD7">
      <w:pPr>
        <w:rPr>
          <w:b/>
          <w:i/>
        </w:rPr>
      </w:pPr>
      <w:r w:rsidRPr="00DA5DD7">
        <w:rPr>
          <w:b/>
          <w:i/>
        </w:rPr>
        <w:t>Category 1</w:t>
      </w:r>
    </w:p>
    <w:p w14:paraId="2AC18D60" w14:textId="77777777" w:rsidR="00CB7716" w:rsidRPr="002F2193" w:rsidRDefault="00CB7716" w:rsidP="00B67B69">
      <w:pPr>
        <w:spacing w:after="240"/>
      </w:pPr>
      <w:r w:rsidRPr="002F2193">
        <w:t xml:space="preserve">Category 1 businesses are food service businesses, such as caterers (onsite and offsite), restaurants, takeaway; and retailers who make and serve potentially hazardous food. </w:t>
      </w:r>
    </w:p>
    <w:p w14:paraId="5E596873" w14:textId="2360862B" w:rsidR="00CB7716" w:rsidRDefault="00CB7716" w:rsidP="00B67B69">
      <w:pPr>
        <w:spacing w:after="240"/>
      </w:pPr>
      <w:r>
        <w:t>C</w:t>
      </w:r>
      <w:r w:rsidRPr="00AB43FF">
        <w:t>haracteristically</w:t>
      </w:r>
      <w:r>
        <w:t>,</w:t>
      </w:r>
      <w:r w:rsidRPr="00AB43FF">
        <w:t xml:space="preserve"> </w:t>
      </w:r>
      <w:r>
        <w:t>t</w:t>
      </w:r>
      <w:r w:rsidRPr="00AB43FF">
        <w:t xml:space="preserve">hese businesses undertake food handling activities that require </w:t>
      </w:r>
      <w:r>
        <w:t>close management</w:t>
      </w:r>
      <w:r w:rsidRPr="00AB43FF">
        <w:t xml:space="preserve"> to produce safe food. There is a strong evidence base for foodborne illness linked to these settings. </w:t>
      </w:r>
    </w:p>
    <w:p w14:paraId="2708F60B" w14:textId="77777777" w:rsidR="00CB7716" w:rsidRDefault="00CB7716" w:rsidP="00B67B69">
      <w:pPr>
        <w:spacing w:after="240"/>
      </w:pPr>
      <w:r>
        <w:rPr>
          <w:b/>
          <w:i/>
        </w:rPr>
        <w:t>Option 3.2</w:t>
      </w:r>
      <w:r w:rsidRPr="00713259">
        <w:rPr>
          <w:b/>
          <w:i/>
        </w:rPr>
        <w:t xml:space="preserve">: </w:t>
      </w:r>
      <w:r>
        <w:t>Mandating all</w:t>
      </w:r>
      <w:r w:rsidRPr="002F2193">
        <w:t xml:space="preserve"> three additional food safety management tools (</w:t>
      </w:r>
      <w:r>
        <w:t>FSS</w:t>
      </w:r>
      <w:r w:rsidRPr="002F2193">
        <w:t xml:space="preserve">, </w:t>
      </w:r>
      <w:r>
        <w:t>FHT</w:t>
      </w:r>
      <w:r w:rsidRPr="002F2193">
        <w:t xml:space="preserve"> and </w:t>
      </w:r>
      <w:r>
        <w:t>E</w:t>
      </w:r>
      <w:r w:rsidRPr="002F2193">
        <w:t xml:space="preserve">) </w:t>
      </w:r>
      <w:r>
        <w:t>is</w:t>
      </w:r>
      <w:r w:rsidRPr="002F2193">
        <w:t xml:space="preserve"> considered appropriate for these businesses. </w:t>
      </w:r>
    </w:p>
    <w:p w14:paraId="1DD3DDEA" w14:textId="74C203B5" w:rsidR="00CB7716" w:rsidRPr="00DA5DD7" w:rsidRDefault="00CB7716" w:rsidP="00DA5DD7">
      <w:pPr>
        <w:rPr>
          <w:b/>
          <w:i/>
        </w:rPr>
      </w:pPr>
      <w:r w:rsidRPr="00DA5DD7">
        <w:rPr>
          <w:b/>
          <w:i/>
        </w:rPr>
        <w:t>Category 2</w:t>
      </w:r>
    </w:p>
    <w:p w14:paraId="7E80BE6F" w14:textId="154072F6" w:rsidR="00A94813" w:rsidRDefault="00CB7716" w:rsidP="00B67B69">
      <w:pPr>
        <w:spacing w:after="240"/>
      </w:pPr>
      <w:r w:rsidRPr="002F2193">
        <w:t xml:space="preserve">Retailers of unpackaged </w:t>
      </w:r>
      <w:r>
        <w:t>RTE</w:t>
      </w:r>
      <w:r w:rsidRPr="002F2193">
        <w:t xml:space="preserve"> </w:t>
      </w:r>
      <w:r>
        <w:t>PHF</w:t>
      </w:r>
      <w:r w:rsidRPr="002F2193">
        <w:t xml:space="preserve"> are placed in </w:t>
      </w:r>
      <w:r>
        <w:t>C</w:t>
      </w:r>
      <w:r w:rsidRPr="002F2193">
        <w:t>ategory</w:t>
      </w:r>
      <w:r>
        <w:t xml:space="preserve"> 2</w:t>
      </w:r>
      <w:r w:rsidRPr="002F2193">
        <w:t xml:space="preserve">. Retailers who only sell pre-packaged food, where the food </w:t>
      </w:r>
      <w:r>
        <w:t>is</w:t>
      </w:r>
      <w:r w:rsidRPr="002F2193">
        <w:t xml:space="preserve"> </w:t>
      </w:r>
      <w:r>
        <w:t>not</w:t>
      </w:r>
      <w:r w:rsidRPr="002F2193">
        <w:t xml:space="preserve"> unpackaged at any time during the control of the retailer – are excluded from this category.</w:t>
      </w:r>
    </w:p>
    <w:p w14:paraId="4AE521CA" w14:textId="343F6133" w:rsidR="00CB7716" w:rsidRDefault="00CB7716" w:rsidP="00B67B69">
      <w:pPr>
        <w:spacing w:after="240"/>
      </w:pPr>
      <w:r>
        <w:t xml:space="preserve">Compared to Category 1, there are fewer critical food handling processes required to produce safe food, and less evidence that foodborne illness is caused by Category 2 settings. </w:t>
      </w:r>
    </w:p>
    <w:p w14:paraId="534E10FB" w14:textId="77777777" w:rsidR="00CB7716" w:rsidRPr="00AB43FF" w:rsidRDefault="00CB7716" w:rsidP="00B67B69">
      <w:pPr>
        <w:spacing w:after="240"/>
      </w:pPr>
      <w:r w:rsidRPr="00ED0666">
        <w:rPr>
          <w:b/>
          <w:i/>
        </w:rPr>
        <w:t>Option 3.1:</w:t>
      </w:r>
      <w:r>
        <w:t xml:space="preserve"> Mandating t</w:t>
      </w:r>
      <w:r w:rsidRPr="002F2193">
        <w:t>wo regulatory food safety management tools (</w:t>
      </w:r>
      <w:r>
        <w:t>FSS</w:t>
      </w:r>
      <w:r w:rsidRPr="002F2193">
        <w:t xml:space="preserve"> and </w:t>
      </w:r>
      <w:r>
        <w:t>FHT</w:t>
      </w:r>
      <w:r w:rsidRPr="002F2193">
        <w:t xml:space="preserve">) </w:t>
      </w:r>
      <w:r>
        <w:t>is</w:t>
      </w:r>
      <w:r w:rsidRPr="002F2193">
        <w:t xml:space="preserve"> considered appropriate. Templates are available to assist these businesses </w:t>
      </w:r>
      <w:r>
        <w:t>with managing food temperature control</w:t>
      </w:r>
      <w:r w:rsidRPr="002F2193">
        <w:t>, but would not be mandated.</w:t>
      </w:r>
    </w:p>
    <w:p w14:paraId="7743BF06" w14:textId="77777777" w:rsidR="00CB7716" w:rsidRPr="00DA5DD7" w:rsidRDefault="00CB7716" w:rsidP="00DA5DD7">
      <w:pPr>
        <w:rPr>
          <w:b/>
          <w:i/>
        </w:rPr>
      </w:pPr>
      <w:r w:rsidRPr="00DA5DD7">
        <w:rPr>
          <w:b/>
          <w:i/>
        </w:rPr>
        <w:t>Category 3</w:t>
      </w:r>
    </w:p>
    <w:p w14:paraId="7D04525F" w14:textId="77777777" w:rsidR="00CB7716" w:rsidRPr="002F2193" w:rsidRDefault="00CB7716" w:rsidP="00B67B69">
      <w:pPr>
        <w:spacing w:after="240"/>
      </w:pPr>
      <w:r w:rsidRPr="002F2193">
        <w:t xml:space="preserve">Retailers of pre-packaged </w:t>
      </w:r>
      <w:r>
        <w:t>RTE</w:t>
      </w:r>
      <w:r w:rsidRPr="002F2193">
        <w:t xml:space="preserve"> </w:t>
      </w:r>
      <w:r>
        <w:t>PHF</w:t>
      </w:r>
      <w:r w:rsidRPr="002F2193">
        <w:t xml:space="preserve"> are </w:t>
      </w:r>
      <w:r>
        <w:t>in C</w:t>
      </w:r>
      <w:r w:rsidRPr="002F2193">
        <w:t>ategory</w:t>
      </w:r>
      <w:r>
        <w:t xml:space="preserve"> 3</w:t>
      </w:r>
      <w:r w:rsidRPr="002F2193">
        <w:t xml:space="preserve">. </w:t>
      </w:r>
    </w:p>
    <w:p w14:paraId="29D8F6D5" w14:textId="34A02483" w:rsidR="00CB7716" w:rsidRDefault="00CB7716" w:rsidP="00B67B69">
      <w:pPr>
        <w:spacing w:after="240"/>
      </w:pPr>
      <w:r w:rsidRPr="68C0CA2D">
        <w:t xml:space="preserve">In this category, business are required to maintain safe food temperature during storage and display. Temperature affects growth of existing pathogens in the food. These businesses are handling pre-packaged food which they have not prepared. This means they would be relying </w:t>
      </w:r>
      <w:r w:rsidRPr="68C0CA2D">
        <w:lastRenderedPageBreak/>
        <w:t xml:space="preserve">on the food producer to have supplied safe food (i.e. that pathogen introduction/growth was controlled during production). Foodborne illness data does not directly link outbreaks to this setting. </w:t>
      </w:r>
    </w:p>
    <w:p w14:paraId="038207A6" w14:textId="631A9D3F" w:rsidR="00CB7716" w:rsidRDefault="00CB7716" w:rsidP="00B67B69">
      <w:pPr>
        <w:spacing w:after="240"/>
      </w:pPr>
      <w:r w:rsidRPr="00AB43FF">
        <w:rPr>
          <w:lang w:val="en-AU"/>
        </w:rPr>
        <w:t xml:space="preserve">Therefore, there is no threshold to directly evaluate a benefit </w:t>
      </w:r>
      <w:r w:rsidRPr="00AB43FF">
        <w:t xml:space="preserve">if applying any regulatory interventions in these settings. </w:t>
      </w:r>
    </w:p>
    <w:p w14:paraId="2E6C1C9C" w14:textId="32FC5227" w:rsidR="00CB7716" w:rsidRPr="00950DD1" w:rsidRDefault="00CB7716" w:rsidP="00B67B69">
      <w:pPr>
        <w:spacing w:after="240"/>
        <w:rPr>
          <w:rStyle w:val="Heading1Char"/>
          <w:rFonts w:eastAsiaTheme="minorHAnsi" w:cstheme="minorBidi"/>
          <w:b w:val="0"/>
          <w:bCs w:val="0"/>
          <w:sz w:val="22"/>
          <w:szCs w:val="22"/>
        </w:rPr>
      </w:pPr>
      <w:r w:rsidRPr="00ED0666">
        <w:rPr>
          <w:b/>
          <w:i/>
        </w:rPr>
        <w:t>No regulatory measures:</w:t>
      </w:r>
      <w:r>
        <w:t xml:space="preserve"> </w:t>
      </w:r>
      <w:r w:rsidRPr="002F2193">
        <w:t xml:space="preserve">A targeted education campaign focusing on storage and display temperature of potentially hazardous foods in this setting is considered the most appropriate option. Templates are available to assist these businesses </w:t>
      </w:r>
      <w:r>
        <w:t>in managing</w:t>
      </w:r>
      <w:r w:rsidRPr="002F2193">
        <w:t xml:space="preserve"> temperature control, but would not be mandated.</w:t>
      </w:r>
    </w:p>
    <w:p w14:paraId="04925415" w14:textId="4477CC74" w:rsidR="00CB7716" w:rsidRPr="0025246D" w:rsidRDefault="00CB7716" w:rsidP="0025246D">
      <w:pPr>
        <w:pStyle w:val="Heading2"/>
        <w:numPr>
          <w:ilvl w:val="0"/>
          <w:numId w:val="0"/>
        </w:numPr>
        <w:ind w:left="576" w:hanging="576"/>
        <w:rPr>
          <w:rStyle w:val="Heading1Char"/>
          <w:b/>
          <w:bCs/>
          <w:sz w:val="28"/>
          <w:szCs w:val="22"/>
        </w:rPr>
      </w:pPr>
      <w:bookmarkStart w:id="339" w:name="_Toc104808616"/>
      <w:bookmarkStart w:id="340" w:name="_Toc107412702"/>
      <w:bookmarkStart w:id="341" w:name="_Toc109300460"/>
      <w:r w:rsidRPr="0025246D">
        <w:rPr>
          <w:rStyle w:val="Heading1Char"/>
          <w:b/>
          <w:bCs/>
          <w:sz w:val="28"/>
          <w:szCs w:val="22"/>
        </w:rPr>
        <w:t>7.</w:t>
      </w:r>
      <w:r w:rsidRPr="0025246D">
        <w:rPr>
          <w:rStyle w:val="Heading1Char"/>
          <w:b/>
          <w:bCs/>
          <w:sz w:val="28"/>
          <w:szCs w:val="22"/>
        </w:rPr>
        <w:tab/>
        <w:t>How will the chosen option be implemented and evaluated?</w:t>
      </w:r>
      <w:bookmarkEnd w:id="339"/>
      <w:bookmarkEnd w:id="340"/>
      <w:bookmarkEnd w:id="341"/>
    </w:p>
    <w:p w14:paraId="7CB06113" w14:textId="77777777" w:rsidR="00CB7716" w:rsidRPr="001551A7" w:rsidRDefault="00CB7716" w:rsidP="00DA5DD7">
      <w:pPr>
        <w:spacing w:after="240"/>
      </w:pPr>
      <w:bookmarkStart w:id="342" w:name="_Toc78896407"/>
      <w:r w:rsidRPr="00BC729F">
        <w:rPr>
          <w:lang w:val="en-AU"/>
        </w:rPr>
        <w:t>Implementation of the proposed standard is the responsibility of the state and territor</w:t>
      </w:r>
      <w:r>
        <w:rPr>
          <w:lang w:val="en-AU"/>
        </w:rPr>
        <w:t>y food regulation agencies</w:t>
      </w:r>
      <w:r w:rsidRPr="00BC729F">
        <w:rPr>
          <w:lang w:val="en-AU"/>
        </w:rPr>
        <w:t xml:space="preserve">. </w:t>
      </w:r>
      <w:r>
        <w:rPr>
          <w:lang w:val="en-AU"/>
        </w:rPr>
        <w:t>FSANZ has been working closely with an implementation working group of regulators from each jurisdiction consistent with the integrated model</w:t>
      </w:r>
      <w:r>
        <w:rPr>
          <w:rStyle w:val="FootnoteReference"/>
          <w:lang w:val="en-AU"/>
        </w:rPr>
        <w:footnoteReference w:id="39"/>
      </w:r>
      <w:r>
        <w:rPr>
          <w:lang w:val="en-AU"/>
        </w:rPr>
        <w:t xml:space="preserve"> for national implementation. </w:t>
      </w:r>
      <w:r w:rsidRPr="0062032E">
        <w:t>Th</w:t>
      </w:r>
      <w:r>
        <w:t>is integrated approach</w:t>
      </w:r>
      <w:r w:rsidRPr="0062032E">
        <w:t xml:space="preserve"> </w:t>
      </w:r>
      <w:r>
        <w:t>assures</w:t>
      </w:r>
      <w:r w:rsidRPr="0062032E">
        <w:t xml:space="preserve"> </w:t>
      </w:r>
      <w:r>
        <w:t xml:space="preserve">ministers considering a new standard that the requirements </w:t>
      </w:r>
      <w:r w:rsidRPr="0062032E">
        <w:t xml:space="preserve">can be implemented consistently </w:t>
      </w:r>
      <w:r>
        <w:t xml:space="preserve">across Australia, and that industry will be supported with guidance. An </w:t>
      </w:r>
      <w:r w:rsidRPr="00BC729F">
        <w:rPr>
          <w:lang w:val="en-AU"/>
        </w:rPr>
        <w:t xml:space="preserve">implementation guide </w:t>
      </w:r>
      <w:r w:rsidRPr="68C0CA2D">
        <w:rPr>
          <w:lang w:val="en-AU"/>
        </w:rPr>
        <w:t xml:space="preserve">is being </w:t>
      </w:r>
      <w:r>
        <w:rPr>
          <w:lang w:val="en-AU"/>
        </w:rPr>
        <w:t xml:space="preserve">developed to </w:t>
      </w:r>
      <w:r w:rsidRPr="68C0CA2D">
        <w:rPr>
          <w:lang w:val="en-AU"/>
        </w:rPr>
        <w:t>support the regulatory measures (if gazetted), providing</w:t>
      </w:r>
      <w:r>
        <w:rPr>
          <w:lang w:val="en-AU"/>
        </w:rPr>
        <w:t xml:space="preserve"> </w:t>
      </w:r>
      <w:r w:rsidRPr="00BC729F">
        <w:rPr>
          <w:lang w:val="en-AU"/>
        </w:rPr>
        <w:t>industry</w:t>
      </w:r>
      <w:r w:rsidRPr="00C92836">
        <w:t xml:space="preserve"> </w:t>
      </w:r>
      <w:r>
        <w:t>and enforcement agencies information on the standard</w:t>
      </w:r>
      <w:r w:rsidDel="003559AB">
        <w:t xml:space="preserve"> </w:t>
      </w:r>
      <w:r>
        <w:t>in practical terms, and expectations for</w:t>
      </w:r>
      <w:r w:rsidDel="003559AB">
        <w:t xml:space="preserve"> </w:t>
      </w:r>
      <w:r>
        <w:t>businesses on how to comply</w:t>
      </w:r>
      <w:r w:rsidRPr="004677A1">
        <w:t>.</w:t>
      </w:r>
      <w:bookmarkEnd w:id="342"/>
    </w:p>
    <w:p w14:paraId="1588FFA1" w14:textId="701BBAFA" w:rsidR="00CB7716" w:rsidRDefault="00CB7716" w:rsidP="00DA5DD7">
      <w:pPr>
        <w:spacing w:after="240"/>
      </w:pPr>
      <w:r>
        <w:t xml:space="preserve">FSANZ provides a commencement period from the date standards are gazetted and registered as a legislative instrument. This period gives industry and government authorities time to put measures in place to meet the standard’s requirements. For this standard, a 12-month commencement period is being proposed. State and territory governments are committed to working with industry to help prepare for the standard to come into effect. Training options and templates to support implementation are already readily available and broadly used. </w:t>
      </w:r>
    </w:p>
    <w:p w14:paraId="43C3825A" w14:textId="06B5F60C" w:rsidR="00CB7716" w:rsidRDefault="00CB7716" w:rsidP="00DA5DD7">
      <w:pPr>
        <w:spacing w:after="240"/>
        <w:rPr>
          <w:lang w:val="en-AU"/>
        </w:rPr>
      </w:pPr>
      <w:r>
        <w:t>States and territories are responsible for any review of implementation and compliance materials. They are also typically responsible for initiating any substantive reviews of the Code through their ministers.</w:t>
      </w:r>
    </w:p>
    <w:p w14:paraId="3E6C9FBF" w14:textId="046CE2F3" w:rsidR="00CB7716" w:rsidRPr="0025246D" w:rsidRDefault="00CB7716" w:rsidP="0025246D">
      <w:pPr>
        <w:pStyle w:val="Heading2"/>
        <w:numPr>
          <w:ilvl w:val="0"/>
          <w:numId w:val="0"/>
        </w:numPr>
        <w:ind w:left="576" w:hanging="576"/>
        <w:rPr>
          <w:rStyle w:val="Heading1Char"/>
          <w:b/>
          <w:bCs/>
          <w:sz w:val="28"/>
          <w:szCs w:val="22"/>
        </w:rPr>
      </w:pPr>
      <w:bookmarkStart w:id="343" w:name="_Toc104808617"/>
      <w:bookmarkStart w:id="344" w:name="_Toc107412703"/>
      <w:bookmarkStart w:id="345" w:name="_Toc109300461"/>
      <w:r w:rsidRPr="0025246D">
        <w:rPr>
          <w:rStyle w:val="Heading1Char"/>
          <w:b/>
          <w:bCs/>
          <w:sz w:val="28"/>
          <w:szCs w:val="22"/>
        </w:rPr>
        <w:t>8.</w:t>
      </w:r>
      <w:r w:rsidRPr="0025246D">
        <w:rPr>
          <w:rStyle w:val="Heading1Char"/>
          <w:b/>
          <w:bCs/>
          <w:sz w:val="28"/>
          <w:szCs w:val="22"/>
        </w:rPr>
        <w:tab/>
        <w:t>Case studies</w:t>
      </w:r>
      <w:bookmarkEnd w:id="343"/>
      <w:bookmarkEnd w:id="344"/>
      <w:bookmarkEnd w:id="345"/>
    </w:p>
    <w:p w14:paraId="68392F30" w14:textId="526548D7" w:rsidR="00CB7716" w:rsidRPr="00986631" w:rsidRDefault="00CB7716" w:rsidP="00DA5DD7">
      <w:pPr>
        <w:spacing w:after="240"/>
      </w:pPr>
      <w:r>
        <w:t>The following scenarios are provided as guidance for food businesses on the approved draft Standard 3.2.2A. They illustrate the intent of the standard, its differing requirements and the types of businesses to which it applies. The scenarios provide several examples, but there may be other business types also covered by the standard. Two ‘</w:t>
      </w:r>
      <w:bookmarkStart w:id="346" w:name="_Int_qLer2OEu"/>
      <w:r>
        <w:t>A day</w:t>
      </w:r>
      <w:bookmarkEnd w:id="346"/>
      <w:r>
        <w:t xml:space="preserve"> in the life’ examples are also provided, to explain the sorts of records or other evidence a business could make to substantiate that their key activities are properly managed.</w:t>
      </w:r>
      <w:r w:rsidR="00427F04">
        <w:t xml:space="preserve"> The case studies are illustrative only and in practice will depend on an assessment made by the regulator in those cases where a record has not been made.</w:t>
      </w:r>
    </w:p>
    <w:p w14:paraId="74D4253E" w14:textId="2FD6C55C" w:rsidR="00CB7716" w:rsidRPr="00986631" w:rsidRDefault="00CB7716" w:rsidP="006D619E">
      <w:pPr>
        <w:pStyle w:val="Heading3"/>
        <w:numPr>
          <w:ilvl w:val="0"/>
          <w:numId w:val="0"/>
        </w:numPr>
        <w:ind w:left="720" w:hanging="720"/>
      </w:pPr>
      <w:bookmarkStart w:id="347" w:name="_Toc104808618"/>
      <w:bookmarkStart w:id="348" w:name="_Toc107412704"/>
      <w:bookmarkStart w:id="349" w:name="_Toc109300462"/>
      <w:r w:rsidRPr="00986631">
        <w:t xml:space="preserve">Examples of businesses the standard </w:t>
      </w:r>
      <w:r>
        <w:t xml:space="preserve">would </w:t>
      </w:r>
      <w:r w:rsidRPr="00986631">
        <w:t>appl</w:t>
      </w:r>
      <w:r>
        <w:t>y</w:t>
      </w:r>
      <w:r w:rsidRPr="00986631">
        <w:t xml:space="preserve"> to</w:t>
      </w:r>
      <w:bookmarkEnd w:id="347"/>
      <w:bookmarkEnd w:id="348"/>
      <w:bookmarkEnd w:id="349"/>
    </w:p>
    <w:p w14:paraId="09A5AF71" w14:textId="77777777" w:rsidR="00CB7716" w:rsidRPr="00986631" w:rsidRDefault="00CB7716" w:rsidP="006D619E">
      <w:pPr>
        <w:pStyle w:val="Heading4"/>
        <w:numPr>
          <w:ilvl w:val="0"/>
          <w:numId w:val="0"/>
        </w:numPr>
        <w:ind w:left="864" w:hanging="864"/>
      </w:pPr>
      <w:bookmarkStart w:id="350" w:name="_Toc107412705"/>
      <w:r w:rsidRPr="00986631">
        <w:t>1. A restaurant</w:t>
      </w:r>
      <w:bookmarkEnd w:id="350"/>
      <w:r w:rsidRPr="00986631">
        <w:t xml:space="preserve"> </w:t>
      </w:r>
    </w:p>
    <w:p w14:paraId="34483587" w14:textId="77777777" w:rsidR="00CB7716" w:rsidRPr="00986631" w:rsidRDefault="00CB7716" w:rsidP="00DA5DD7">
      <w:pPr>
        <w:spacing w:after="240"/>
      </w:pPr>
      <w:r w:rsidRPr="00986631">
        <w:t xml:space="preserve">Milo’s Sydney restaurant makes and serves a range of meat and vegetarian dishes, for customers to eat there or take away. Milo’s restaurant is a </w:t>
      </w:r>
      <w:r w:rsidRPr="00986631">
        <w:rPr>
          <w:b/>
        </w:rPr>
        <w:t>Category 1</w:t>
      </w:r>
      <w:r w:rsidRPr="00986631">
        <w:t xml:space="preserve"> business because it </w:t>
      </w:r>
      <w:r w:rsidRPr="00986631">
        <w:lastRenderedPageBreak/>
        <w:t xml:space="preserve">both makes and </w:t>
      </w:r>
      <w:r>
        <w:t>sells</w:t>
      </w:r>
      <w:r w:rsidRPr="00986631">
        <w:t xml:space="preserve"> meals, which are ready to eat without any further preparation by consumers. </w:t>
      </w:r>
    </w:p>
    <w:p w14:paraId="44C43EDF" w14:textId="77777777" w:rsidR="00CB7716" w:rsidRPr="00986631" w:rsidRDefault="00CB7716" w:rsidP="00DA5DD7">
      <w:pPr>
        <w:spacing w:after="240"/>
      </w:pPr>
      <w:r w:rsidRPr="00986631">
        <w:t xml:space="preserve">Milo needs to understand and manage many </w:t>
      </w:r>
      <w:bookmarkStart w:id="351" w:name="_Int_ZWwFbVKi"/>
      <w:r w:rsidRPr="00986631">
        <w:t>food</w:t>
      </w:r>
      <w:bookmarkEnd w:id="351"/>
      <w:r w:rsidRPr="00986631">
        <w:t xml:space="preserve"> safety risks before, during and after the restaurant meals are prepared. For example, meat, fish, dairy and egg products need to be received and stored cold. Cooked dishes need to be cooked properly at the right temperature for the right amount of time. Once a dish is ready to eat, it needs to be served within a short time or held at temperatures that keep it safe.</w:t>
      </w:r>
    </w:p>
    <w:p w14:paraId="793152E9" w14:textId="77777777" w:rsidR="00CB7716" w:rsidRPr="00251414" w:rsidRDefault="00CB7716" w:rsidP="00DA5DD7">
      <w:pPr>
        <w:spacing w:after="240"/>
      </w:pPr>
      <w:r w:rsidRPr="00251414">
        <w:t xml:space="preserve">Milo checks the new standard and sees that: </w:t>
      </w:r>
    </w:p>
    <w:p w14:paraId="7446A6FB" w14:textId="77777777" w:rsidR="00CB7716" w:rsidRPr="00986631" w:rsidRDefault="00CB7716" w:rsidP="00614AF5">
      <w:pPr>
        <w:pStyle w:val="ListParagraph"/>
        <w:numPr>
          <w:ilvl w:val="0"/>
          <w:numId w:val="88"/>
        </w:numPr>
        <w:spacing w:after="240"/>
      </w:pPr>
      <w:r>
        <w:t xml:space="preserve">His business needs to have a qualified FSS, but he already has one because NSW already requires it. </w:t>
      </w:r>
    </w:p>
    <w:p w14:paraId="5580F294" w14:textId="77777777" w:rsidR="00CB7716" w:rsidRPr="00986631" w:rsidRDefault="00CB7716" w:rsidP="00614AF5">
      <w:pPr>
        <w:pStyle w:val="ListParagraph"/>
        <w:numPr>
          <w:ilvl w:val="0"/>
          <w:numId w:val="88"/>
        </w:numPr>
        <w:spacing w:after="240"/>
      </w:pPr>
      <w:r>
        <w:t>H</w:t>
      </w:r>
      <w:r w:rsidRPr="00986631">
        <w:t>is staff that prepare the meals (e.g. kitchen hands) will all need to complete a food safety course that covers the specific topics in the sta</w:t>
      </w:r>
      <w:r>
        <w:t>ndard (they can do this online).</w:t>
      </w:r>
      <w:r w:rsidRPr="00986631">
        <w:t xml:space="preserve"> </w:t>
      </w:r>
    </w:p>
    <w:p w14:paraId="4EE6FA4C" w14:textId="77777777" w:rsidR="00CB7716" w:rsidRPr="00986631" w:rsidRDefault="00CB7716" w:rsidP="00614AF5">
      <w:pPr>
        <w:pStyle w:val="ListParagraph"/>
        <w:numPr>
          <w:ilvl w:val="0"/>
          <w:numId w:val="88"/>
        </w:numPr>
        <w:spacing w:after="240"/>
      </w:pPr>
      <w:r>
        <w:t>H</w:t>
      </w:r>
      <w:r w:rsidRPr="00986631">
        <w:t xml:space="preserve">is business will also now have to have evidence that shows how they are keeping food safe. This includes the standard operating procedures he already has, as well as records of temperature checks (for food storage, cooking and cooling), and cleaning and sanitising. These will help </w:t>
      </w:r>
      <w:r>
        <w:t>Milo</w:t>
      </w:r>
      <w:r w:rsidRPr="00986631">
        <w:t xml:space="preserve"> </w:t>
      </w:r>
      <w:r>
        <w:t>ensure</w:t>
      </w:r>
      <w:r w:rsidRPr="00986631">
        <w:t xml:space="preserve"> his business is taking food safety seriously and doing things </w:t>
      </w:r>
      <w:r>
        <w:t>correctly</w:t>
      </w:r>
      <w:r w:rsidRPr="00986631">
        <w:t>. The evidence will also help him show regulators he is complying with the standard.</w:t>
      </w:r>
    </w:p>
    <w:p w14:paraId="0E1D09FB" w14:textId="77777777" w:rsidR="00CB7716" w:rsidRPr="00986631" w:rsidRDefault="00CB7716" w:rsidP="006D619E">
      <w:pPr>
        <w:pStyle w:val="Heading4"/>
        <w:numPr>
          <w:ilvl w:val="0"/>
          <w:numId w:val="0"/>
        </w:numPr>
        <w:ind w:left="864" w:hanging="864"/>
      </w:pPr>
      <w:bookmarkStart w:id="352" w:name="_Toc107412706"/>
      <w:r w:rsidRPr="00986631">
        <w:t>2. A bakery that makes and retails its own products</w:t>
      </w:r>
      <w:bookmarkEnd w:id="352"/>
    </w:p>
    <w:p w14:paraId="0B14A9E5" w14:textId="77777777" w:rsidR="00CB7716" w:rsidRPr="00986631" w:rsidRDefault="00CB7716" w:rsidP="00DA5DD7">
      <w:pPr>
        <w:spacing w:after="240"/>
      </w:pPr>
      <w:r w:rsidRPr="00986631">
        <w:t xml:space="preserve">Kim’s bakery in South Australia makes and sells a range of goods on site, including Vietnamese rolls and pastries containing egg-custard and cream. Kim’s bakery is a </w:t>
      </w:r>
      <w:r w:rsidRPr="00442992">
        <w:rPr>
          <w:b/>
        </w:rPr>
        <w:t>Category 1</w:t>
      </w:r>
      <w:r w:rsidRPr="00986631">
        <w:t xml:space="preserve"> business because it both makes and retails these foods. </w:t>
      </w:r>
    </w:p>
    <w:p w14:paraId="7FD6820A" w14:textId="77777777" w:rsidR="00CB7716" w:rsidRPr="00986631" w:rsidRDefault="00CB7716" w:rsidP="00DA5DD7">
      <w:pPr>
        <w:spacing w:after="240"/>
      </w:pPr>
      <w:r w:rsidRPr="00986631">
        <w:t xml:space="preserve">Because of the type of food she sells, Kim needs to manage many </w:t>
      </w:r>
      <w:bookmarkStart w:id="353" w:name="_Int_3mHLKN7o"/>
      <w:r w:rsidRPr="00986631">
        <w:t>food</w:t>
      </w:r>
      <w:bookmarkEnd w:id="353"/>
      <w:r w:rsidRPr="00986631">
        <w:t xml:space="preserve"> safety risks, from receiving and storing ingredients, through processing steps, to displaying and serving the final products. </w:t>
      </w:r>
    </w:p>
    <w:p w14:paraId="539CA273" w14:textId="77777777" w:rsidR="00CB7716" w:rsidRPr="00C10450" w:rsidRDefault="00CB7716" w:rsidP="00614AF5">
      <w:pPr>
        <w:pStyle w:val="ListParagraph"/>
        <w:numPr>
          <w:ilvl w:val="0"/>
          <w:numId w:val="89"/>
        </w:numPr>
        <w:spacing w:after="240"/>
      </w:pPr>
      <w:r w:rsidRPr="00C10450">
        <w:t>Kim speaks to SA Health to check what she needs to do. For Kim, the new standard means:</w:t>
      </w:r>
    </w:p>
    <w:p w14:paraId="3B10EEF1" w14:textId="77777777" w:rsidR="00CB7716" w:rsidRPr="00986631" w:rsidRDefault="00CB7716" w:rsidP="00614AF5">
      <w:pPr>
        <w:pStyle w:val="ListParagraph"/>
        <w:numPr>
          <w:ilvl w:val="0"/>
          <w:numId w:val="89"/>
        </w:numPr>
        <w:spacing w:after="240"/>
      </w:pPr>
      <w:r>
        <w:t>S</w:t>
      </w:r>
      <w:r w:rsidRPr="00986631">
        <w:t>he will have to have a FSS</w:t>
      </w:r>
      <w:r>
        <w:t>. She decides to complete this training herself as she is the one who generally supervises the food handlers.</w:t>
      </w:r>
    </w:p>
    <w:p w14:paraId="13AB733D" w14:textId="77777777" w:rsidR="00CB7716" w:rsidRPr="00986631" w:rsidRDefault="00CB7716" w:rsidP="00614AF5">
      <w:pPr>
        <w:pStyle w:val="ListParagraph"/>
        <w:numPr>
          <w:ilvl w:val="0"/>
          <w:numId w:val="89"/>
        </w:numPr>
        <w:spacing w:after="240"/>
      </w:pPr>
      <w:r>
        <w:t>T</w:t>
      </w:r>
      <w:r w:rsidRPr="00986631">
        <w:t>he two food handlers she works with will need to complete food handler training</w:t>
      </w:r>
      <w:r>
        <w:t>.</w:t>
      </w:r>
      <w:r w:rsidRPr="00986631">
        <w:t xml:space="preserve"> </w:t>
      </w:r>
    </w:p>
    <w:p w14:paraId="33709CEA" w14:textId="6EC6DBFC" w:rsidR="00CB7716" w:rsidRPr="00986631" w:rsidRDefault="00CB7716" w:rsidP="00614AF5">
      <w:pPr>
        <w:pStyle w:val="ListParagraph"/>
        <w:numPr>
          <w:ilvl w:val="0"/>
          <w:numId w:val="89"/>
        </w:numPr>
        <w:spacing w:after="240"/>
      </w:pPr>
      <w:r>
        <w:t>Her</w:t>
      </w:r>
      <w:r w:rsidRPr="00986631">
        <w:t xml:space="preserve"> business will have to keep evidence to show how </w:t>
      </w:r>
      <w:r>
        <w:t>they</w:t>
      </w:r>
      <w:r w:rsidRPr="00986631">
        <w:t xml:space="preserve"> manage their food safety risks. This will likely mean her staff need to </w:t>
      </w:r>
      <w:r w:rsidR="00427F04">
        <w:t>create and keep</w:t>
      </w:r>
      <w:r w:rsidRPr="00986631">
        <w:t xml:space="preserve"> a record of the temperature of potentially hazardous food (e.g. meat, dairy, egg products) when it is received, stored, and displayed. They may also have to record how long it takes them to prepare some products, especially where ingredients are brought out of the fridge and processed on the bench (e.g. whipped cream, egg butter and custard, shredded salad). Using the 2-hour/4-hour rule for food brought out of the fridge is a proven safe practice.</w:t>
      </w:r>
    </w:p>
    <w:p w14:paraId="024087DE" w14:textId="77777777" w:rsidR="00CB7716" w:rsidRPr="00DA5DD7" w:rsidRDefault="00CB7716" w:rsidP="00DA5DD7">
      <w:pPr>
        <w:spacing w:after="240"/>
        <w:rPr>
          <w:b/>
          <w:i/>
        </w:rPr>
      </w:pPr>
      <w:r w:rsidRPr="00DA5DD7">
        <w:rPr>
          <w:b/>
          <w:i/>
        </w:rPr>
        <w:t xml:space="preserve"> ‘A day in the life’ – bakery making PHF sandwiches (for direct order – prepare/serve) </w:t>
      </w:r>
    </w:p>
    <w:p w14:paraId="00A8EE60" w14:textId="77777777" w:rsidR="00CB7716" w:rsidRPr="006A0B89" w:rsidRDefault="00CB7716" w:rsidP="00DA5DD7">
      <w:pPr>
        <w:spacing w:after="240"/>
        <w:rPr>
          <w:rFonts w:cs="Arial"/>
        </w:rPr>
      </w:pPr>
      <w:r w:rsidRPr="68C0CA2D">
        <w:rPr>
          <w:rFonts w:cs="Arial"/>
        </w:rPr>
        <w:t>The proposed draft Standard 3.2.2A includes a clause (clause 12) on ‘substantiating food safety management of prescribed activities’, listing nine activities (in subclause 4. ‘a’ to ‘</w:t>
      </w:r>
      <w:proofErr w:type="spellStart"/>
      <w:r w:rsidRPr="68C0CA2D">
        <w:rPr>
          <w:rFonts w:cs="Arial"/>
        </w:rPr>
        <w:t>i</w:t>
      </w:r>
      <w:proofErr w:type="spellEnd"/>
      <w:r w:rsidRPr="68C0CA2D">
        <w:rPr>
          <w:rFonts w:cs="Arial"/>
        </w:rPr>
        <w:t>’). The example below sets out ‘an average day’, explaining how a bakery could use the evidence tool and demonstrate to a food regulator (e.g. environmental health officer, EHO) that the requirement is met.</w:t>
      </w:r>
    </w:p>
    <w:p w14:paraId="6BCD781F" w14:textId="07004CA3" w:rsidR="00CB7716" w:rsidRPr="00442992" w:rsidRDefault="00CB7716" w:rsidP="00DA5DD7">
      <w:pPr>
        <w:spacing w:after="240"/>
        <w:rPr>
          <w:rFonts w:cs="Arial"/>
        </w:rPr>
      </w:pPr>
      <w:r w:rsidRPr="00442992">
        <w:rPr>
          <w:rFonts w:cs="Arial"/>
        </w:rPr>
        <w:t xml:space="preserve">A staff member arrives on site and before starting any preparation for the day, checks </w:t>
      </w:r>
      <w:r w:rsidR="00427F04">
        <w:rPr>
          <w:rFonts w:cs="Arial"/>
        </w:rPr>
        <w:t xml:space="preserve">and </w:t>
      </w:r>
      <w:r w:rsidR="00427F04">
        <w:rPr>
          <w:rFonts w:cs="Arial"/>
        </w:rPr>
        <w:lastRenderedPageBreak/>
        <w:t xml:space="preserve">records </w:t>
      </w:r>
      <w:r w:rsidRPr="00442992">
        <w:rPr>
          <w:rFonts w:cs="Arial"/>
        </w:rPr>
        <w:t xml:space="preserve">the temperature of the food in the fridge and/or checks </w:t>
      </w:r>
      <w:r w:rsidR="00427F04">
        <w:rPr>
          <w:rFonts w:cs="Arial"/>
        </w:rPr>
        <w:t xml:space="preserve">and records </w:t>
      </w:r>
      <w:r w:rsidRPr="00442992">
        <w:rPr>
          <w:rFonts w:cs="Arial"/>
        </w:rPr>
        <w:t xml:space="preserve">the temperature of the fridge (if a calibrated gauge is used). The food in the freezer is also checked to make sure it is still hard frozen. These checks ensure that any potentially hazardous food (PHF) being used for the day has been stored </w:t>
      </w:r>
      <w:r>
        <w:rPr>
          <w:rFonts w:cs="Arial"/>
        </w:rPr>
        <w:t xml:space="preserve">correctly </w:t>
      </w:r>
      <w:r w:rsidRPr="00442992">
        <w:rPr>
          <w:rFonts w:cs="Arial"/>
        </w:rPr>
        <w:t>under temperature control overnight and the food is safe to use.</w:t>
      </w:r>
      <w:r w:rsidR="00427F04">
        <w:rPr>
          <w:rFonts w:cs="Arial"/>
        </w:rPr>
        <w:t xml:space="preserve"> </w:t>
      </w:r>
    </w:p>
    <w:p w14:paraId="44862448" w14:textId="4EEE6440" w:rsidR="00CB7716" w:rsidRPr="008560D3" w:rsidRDefault="00CB7716" w:rsidP="00DA5DD7">
      <w:pPr>
        <w:spacing w:after="240"/>
        <w:rPr>
          <w:rFonts w:cs="Arial"/>
          <w:color w:val="0070C0"/>
        </w:rPr>
      </w:pPr>
      <w:r w:rsidRPr="48861835">
        <w:rPr>
          <w:rFonts w:cs="Arial"/>
          <w:b/>
        </w:rPr>
        <w:t>Food storage</w:t>
      </w:r>
      <w:r w:rsidRPr="68C0CA2D">
        <w:rPr>
          <w:rFonts w:cs="Arial"/>
          <w:color w:val="95B3D7" w:themeColor="accent1" w:themeTint="99"/>
        </w:rPr>
        <w:t xml:space="preserve"> </w:t>
      </w:r>
      <w:r w:rsidRPr="68C0CA2D">
        <w:rPr>
          <w:rFonts w:cs="Arial"/>
        </w:rPr>
        <w:t xml:space="preserve">– the fridge or food temperature would be recorded on the business’s daily temperature record sheet. </w:t>
      </w:r>
    </w:p>
    <w:p w14:paraId="692AC1E2" w14:textId="69474AC4" w:rsidR="00CB7716" w:rsidRDefault="00CB7716" w:rsidP="00DA5DD7">
      <w:pPr>
        <w:spacing w:after="240"/>
        <w:rPr>
          <w:rFonts w:cs="Arial"/>
        </w:rPr>
      </w:pPr>
      <w:r w:rsidRPr="02C895D1">
        <w:rPr>
          <w:rFonts w:cs="Arial"/>
        </w:rPr>
        <w:t>The staff member checks that the equipment being used for preparation and service is clean and has been stored to prevent contamination. The benches are sanitised before food preparation begins. This may be part of the cleaning instructions and schedule (</w:t>
      </w:r>
      <w:r w:rsidRPr="02C895D1">
        <w:rPr>
          <w:rFonts w:cs="Arial"/>
          <w:b/>
          <w:bCs/>
        </w:rPr>
        <w:t>cleaning and sanitising</w:t>
      </w:r>
      <w:r w:rsidRPr="02C895D1">
        <w:rPr>
          <w:rFonts w:cs="Arial"/>
        </w:rPr>
        <w:t>). The Bain Marie used for chilling is turned on, so it will be cold before placing food items in later that morning.</w:t>
      </w:r>
    </w:p>
    <w:p w14:paraId="285CF23D" w14:textId="25BEA8F2" w:rsidR="00CB7716" w:rsidRPr="00156596" w:rsidRDefault="00CB7716" w:rsidP="00DA5DD7">
      <w:pPr>
        <w:spacing w:after="240"/>
        <w:rPr>
          <w:rFonts w:cs="Arial"/>
        </w:rPr>
      </w:pPr>
      <w:r w:rsidRPr="02C895D1">
        <w:rPr>
          <w:rFonts w:cs="Arial"/>
        </w:rPr>
        <w:t xml:space="preserve">The staff member sees that the delivery driver has arrived and goes to accept a delivery of ordered food. They wash their hands and sanitise the temperature probe. The delivery contains both dry goods and PHF. The PHF is checked first for labelling and any damage to packaging or potential contamination, then the staff member takes the temperature to ensure it is received under temperature control. A temperature infra-red gun may be used to check surface temperature, or a probe placed between two packaged units (e.g. </w:t>
      </w:r>
      <w:proofErr w:type="spellStart"/>
      <w:r w:rsidRPr="02C895D1">
        <w:rPr>
          <w:rFonts w:cs="Arial"/>
        </w:rPr>
        <w:t>Cryovac</w:t>
      </w:r>
      <w:proofErr w:type="spellEnd"/>
      <w:r w:rsidRPr="02C895D1">
        <w:rPr>
          <w:rFonts w:cs="Arial"/>
        </w:rPr>
        <w:t xml:space="preserve"> meat packets). A probe is used if the package or food needs to be pierced to check core temperature. Once the PHF has been checked, it is immediately placed into the cool room or fridge.</w:t>
      </w:r>
    </w:p>
    <w:p w14:paraId="10C5E0A9" w14:textId="6840976E" w:rsidR="00CB7716" w:rsidRPr="00156596" w:rsidRDefault="00CB7716" w:rsidP="00DA5DD7">
      <w:pPr>
        <w:spacing w:after="240"/>
        <w:rPr>
          <w:rFonts w:cs="Arial"/>
        </w:rPr>
      </w:pPr>
      <w:r w:rsidRPr="48861835">
        <w:rPr>
          <w:rFonts w:cs="Arial"/>
          <w:b/>
        </w:rPr>
        <w:t>Food receipt</w:t>
      </w:r>
      <w:r w:rsidRPr="00156596">
        <w:rPr>
          <w:rFonts w:cs="Arial"/>
          <w:color w:val="0070C0"/>
        </w:rPr>
        <w:t xml:space="preserve"> </w:t>
      </w:r>
      <w:r w:rsidRPr="001312D3">
        <w:rPr>
          <w:rFonts w:cs="Arial"/>
        </w:rPr>
        <w:t>– once the PHF is checked the temperature and product name</w:t>
      </w:r>
      <w:r w:rsidR="00427F04">
        <w:rPr>
          <w:rFonts w:cs="Arial"/>
        </w:rPr>
        <w:t>, time and date</w:t>
      </w:r>
      <w:r w:rsidRPr="001312D3">
        <w:rPr>
          <w:rFonts w:cs="Arial"/>
        </w:rPr>
        <w:t xml:space="preserve"> are recorded on the daily temperature sheet.</w:t>
      </w:r>
    </w:p>
    <w:p w14:paraId="12486659" w14:textId="77777777" w:rsidR="00CB7716" w:rsidRPr="00156596" w:rsidRDefault="00CB7716" w:rsidP="00DA5DD7">
      <w:pPr>
        <w:spacing w:after="240"/>
        <w:rPr>
          <w:rFonts w:cs="Arial"/>
        </w:rPr>
      </w:pPr>
      <w:r w:rsidRPr="68C0CA2D">
        <w:rPr>
          <w:rFonts w:cs="Arial"/>
        </w:rPr>
        <w:t xml:space="preserve">If this staff member picks up food from the supermarket on the way to the café, they could either check the food temperature on arriving at the café (e.g. if transported in cooler bags with ice packs) or manage food safety using time as a control. </w:t>
      </w:r>
      <w:r w:rsidRPr="48861835">
        <w:rPr>
          <w:rFonts w:cs="Arial"/>
        </w:rPr>
        <w:t xml:space="preserve">An </w:t>
      </w:r>
      <w:r w:rsidRPr="68C0CA2D">
        <w:rPr>
          <w:rFonts w:cs="Arial"/>
        </w:rPr>
        <w:t>SOP could describe this in relation to food being out of temperature control for less than 2 hours. This may or may not require evidence.</w:t>
      </w:r>
    </w:p>
    <w:p w14:paraId="20CA00E7" w14:textId="4B5CE8D8" w:rsidR="00A94813" w:rsidRDefault="00CB7716" w:rsidP="00DA5DD7">
      <w:pPr>
        <w:spacing w:after="240"/>
        <w:rPr>
          <w:rFonts w:cs="Arial"/>
          <w:b/>
        </w:rPr>
      </w:pPr>
      <w:r w:rsidRPr="02C895D1">
        <w:rPr>
          <w:rFonts w:cs="Arial"/>
        </w:rPr>
        <w:t>The staff member then stocks the Bain Marie with sandwich ingredients from the fridge. The temperature of the food in the Bain Marie is checked, to ensure the equipment is maintaining temperature control.</w:t>
      </w:r>
    </w:p>
    <w:p w14:paraId="68AC44AF" w14:textId="40DFA253" w:rsidR="00CB7716" w:rsidRPr="003C267A" w:rsidRDefault="00CB7716" w:rsidP="00DA5DD7">
      <w:pPr>
        <w:spacing w:after="240"/>
        <w:rPr>
          <w:rFonts w:cs="Arial"/>
        </w:rPr>
      </w:pPr>
      <w:r w:rsidRPr="02C895D1">
        <w:rPr>
          <w:rFonts w:cs="Arial"/>
          <w:b/>
          <w:bCs/>
        </w:rPr>
        <w:t>Food storage</w:t>
      </w:r>
      <w:r w:rsidRPr="02C895D1">
        <w:rPr>
          <w:rFonts w:cs="Arial"/>
          <w:color w:val="0070C0"/>
        </w:rPr>
        <w:t xml:space="preserve"> </w:t>
      </w:r>
      <w:r w:rsidRPr="02C895D1">
        <w:rPr>
          <w:rFonts w:cs="Arial"/>
        </w:rPr>
        <w:t xml:space="preserve">– the Bain Marie temperature will then be recorded on their daily temperature record sheet. Alternatively, the time the food is put into the Bain Marie is </w:t>
      </w:r>
      <w:r w:rsidR="00B12F37">
        <w:rPr>
          <w:rFonts w:cs="Arial"/>
        </w:rPr>
        <w:t>recorded</w:t>
      </w:r>
      <w:r w:rsidRPr="02C895D1">
        <w:rPr>
          <w:rFonts w:cs="Arial"/>
        </w:rPr>
        <w:t>, and either</w:t>
      </w:r>
      <w:r w:rsidR="00DA5DD7">
        <w:rPr>
          <w:rFonts w:cs="Arial"/>
        </w:rPr>
        <w:t>:</w:t>
      </w:r>
      <w:r w:rsidRPr="02C895D1">
        <w:rPr>
          <w:rFonts w:cs="Arial"/>
        </w:rPr>
        <w:t xml:space="preserve"> </w:t>
      </w:r>
    </w:p>
    <w:p w14:paraId="33D3DFEA" w14:textId="77777777" w:rsidR="00CB7716" w:rsidRPr="00DA5DD7" w:rsidRDefault="00CB7716" w:rsidP="00614AF5">
      <w:pPr>
        <w:pStyle w:val="ListParagraph"/>
        <w:numPr>
          <w:ilvl w:val="0"/>
          <w:numId w:val="90"/>
        </w:numPr>
        <w:spacing w:after="240"/>
        <w:rPr>
          <w:rFonts w:cs="Arial"/>
        </w:rPr>
      </w:pPr>
      <w:r w:rsidRPr="00DA5DD7">
        <w:rPr>
          <w:rFonts w:cs="Arial"/>
        </w:rPr>
        <w:t xml:space="preserve">the food is checked at 2 hours to ensure it is still under temperature control, or </w:t>
      </w:r>
    </w:p>
    <w:p w14:paraId="6241F4E3" w14:textId="77777777" w:rsidR="00CB7716" w:rsidRPr="00DA5DD7" w:rsidRDefault="00CB7716" w:rsidP="00614AF5">
      <w:pPr>
        <w:pStyle w:val="ListParagraph"/>
        <w:numPr>
          <w:ilvl w:val="0"/>
          <w:numId w:val="90"/>
        </w:numPr>
        <w:spacing w:after="240"/>
        <w:rPr>
          <w:rFonts w:cs="Arial"/>
        </w:rPr>
      </w:pPr>
      <w:r w:rsidRPr="00DA5DD7">
        <w:rPr>
          <w:rFonts w:cs="Arial"/>
        </w:rPr>
        <w:t xml:space="preserve">the food is placed back into the fridge at 2 hours or </w:t>
      </w:r>
    </w:p>
    <w:p w14:paraId="175CA35A" w14:textId="77777777" w:rsidR="00CB7716" w:rsidRPr="00DA5DD7" w:rsidRDefault="00CB7716" w:rsidP="00614AF5">
      <w:pPr>
        <w:pStyle w:val="ListParagraph"/>
        <w:numPr>
          <w:ilvl w:val="0"/>
          <w:numId w:val="90"/>
        </w:numPr>
        <w:spacing w:after="240"/>
        <w:rPr>
          <w:rFonts w:cs="Arial"/>
        </w:rPr>
      </w:pPr>
      <w:r w:rsidRPr="00DA5DD7">
        <w:rPr>
          <w:rFonts w:cs="Arial"/>
        </w:rPr>
        <w:t>the food is discarded at the end of 4 hours as per the 2-hour/ 4-hour rule.</w:t>
      </w:r>
    </w:p>
    <w:p w14:paraId="57F362F9" w14:textId="71C72010" w:rsidR="00CB7716" w:rsidRPr="008560D3" w:rsidRDefault="00CB7716" w:rsidP="00DA5DD7">
      <w:pPr>
        <w:spacing w:after="240"/>
        <w:rPr>
          <w:rFonts w:cs="Arial"/>
          <w:color w:val="0070C0"/>
        </w:rPr>
      </w:pPr>
      <w:r w:rsidRPr="02C895D1">
        <w:rPr>
          <w:rFonts w:cs="Arial"/>
          <w:b/>
          <w:bCs/>
        </w:rPr>
        <w:t>Minimising processing time</w:t>
      </w:r>
      <w:r w:rsidRPr="02C895D1">
        <w:rPr>
          <w:rFonts w:cs="Arial"/>
        </w:rPr>
        <w:t xml:space="preserve"> – The time that food is brought out of the fridge, and the time it is placed back into fridge or discarded can be recorded. Alternatively, a SOP can be used that shows the process for the Bain Marie with temperature checks or time that was prepared previously. An EHO can observe this process is in line with the SOP and ask questions to confirm understanding. </w:t>
      </w:r>
      <w:r w:rsidR="00B12F37">
        <w:rPr>
          <w:rFonts w:cs="Arial"/>
        </w:rPr>
        <w:t>If the business was able to demonstrate this process to the reasonable satisfaction of an authorised officer, t</w:t>
      </w:r>
      <w:r w:rsidRPr="02C895D1">
        <w:rPr>
          <w:rFonts w:cs="Arial"/>
        </w:rPr>
        <w:t>emperatures and time would then not need to be recorded routinely.</w:t>
      </w:r>
    </w:p>
    <w:p w14:paraId="2F28DBE6" w14:textId="7C40786A" w:rsidR="00CB7716" w:rsidRPr="001312D3" w:rsidRDefault="00CB7716" w:rsidP="00DA5DD7">
      <w:pPr>
        <w:spacing w:after="240"/>
        <w:rPr>
          <w:rFonts w:cs="Arial"/>
        </w:rPr>
      </w:pPr>
      <w:r w:rsidRPr="48861835">
        <w:rPr>
          <w:rFonts w:cs="Arial"/>
          <w:b/>
        </w:rPr>
        <w:t>Processing to achieve microbiological safety of food</w:t>
      </w:r>
      <w:r>
        <w:rPr>
          <w:rFonts w:cs="Arial"/>
          <w:color w:val="0070C0"/>
        </w:rPr>
        <w:t xml:space="preserve"> </w:t>
      </w:r>
      <w:r w:rsidRPr="001312D3">
        <w:rPr>
          <w:rFonts w:cs="Arial"/>
        </w:rPr>
        <w:t>–</w:t>
      </w:r>
      <w:r>
        <w:rPr>
          <w:rFonts w:cs="Arial"/>
          <w:color w:val="0070C0"/>
        </w:rPr>
        <w:t xml:space="preserve"> </w:t>
      </w:r>
      <w:r w:rsidRPr="001312D3">
        <w:rPr>
          <w:rFonts w:cs="Arial"/>
        </w:rPr>
        <w:t xml:space="preserve">Raw chicken is cooked onsite to </w:t>
      </w:r>
      <w:r w:rsidRPr="001312D3">
        <w:rPr>
          <w:rFonts w:cs="Arial"/>
        </w:rPr>
        <w:lastRenderedPageBreak/>
        <w:t xml:space="preserve">be cut up and used for sandwiches. The core temperature of the cooked food is checked and recorded. The café is also roasting vegetables and boiling quinoa for the sandwich fillings. Cooking temperatures for these processes would not need to be recorded as the food is either only edible once cooked, or it doesn’t become PHF until after it is cooked. </w:t>
      </w:r>
      <w:r w:rsidRPr="48861835">
        <w:rPr>
          <w:rFonts w:cs="Arial"/>
        </w:rPr>
        <w:t>For example, pasta</w:t>
      </w:r>
      <w:r w:rsidRPr="001312D3">
        <w:rPr>
          <w:rFonts w:cs="Arial"/>
        </w:rPr>
        <w:t xml:space="preserve"> is not considered PHF until it is </w:t>
      </w:r>
      <w:r w:rsidRPr="48861835">
        <w:rPr>
          <w:rFonts w:cs="Arial"/>
        </w:rPr>
        <w:t>cooked.</w:t>
      </w:r>
    </w:p>
    <w:p w14:paraId="4D88E08B" w14:textId="2268C34D" w:rsidR="00CB7716" w:rsidRPr="001312D3" w:rsidRDefault="00CB7716" w:rsidP="00DA5DD7">
      <w:pPr>
        <w:spacing w:after="240"/>
        <w:rPr>
          <w:rFonts w:cs="Arial"/>
        </w:rPr>
      </w:pPr>
      <w:r w:rsidRPr="48861835">
        <w:rPr>
          <w:rFonts w:cs="Arial"/>
          <w:b/>
        </w:rPr>
        <w:t xml:space="preserve">Food cooling </w:t>
      </w:r>
      <w:r w:rsidRPr="001312D3">
        <w:rPr>
          <w:rFonts w:cs="Arial"/>
        </w:rPr>
        <w:t>–</w:t>
      </w:r>
      <w:r w:rsidRPr="008560D3">
        <w:rPr>
          <w:rFonts w:cs="Arial"/>
          <w:color w:val="0070C0"/>
        </w:rPr>
        <w:t xml:space="preserve"> </w:t>
      </w:r>
      <w:r w:rsidRPr="001312D3">
        <w:rPr>
          <w:rFonts w:cs="Arial"/>
        </w:rPr>
        <w:t xml:space="preserve">If the food cooked on the day is all consumed within 4 hours or discarded, then cooling does not have to be monitored. If some of the cooked chicken and roast vegetables is cooled for use later in the day, or for the next day, cooling must be monitored. Cooling temperatures can be checked and recorded, or a SOP can be used that shows the standard process for cooling with time/temperature checks that were prepared previously. The EHO can observe this process is in line with the SOP and ask questions to confirm understanding. </w:t>
      </w:r>
      <w:r w:rsidR="00B12F37">
        <w:rPr>
          <w:rFonts w:cs="Arial"/>
        </w:rPr>
        <w:t>If the business was able to demonstrate this process to the reasonable satisfaction of an authorised officer, t</w:t>
      </w:r>
      <w:r w:rsidRPr="001312D3">
        <w:rPr>
          <w:rFonts w:cs="Arial"/>
        </w:rPr>
        <w:t>emperatures and time would then not need to be recorded routinely. The quinoa is cooled using ice water and a temperature record is not required, as this is a standard process known to rapidly chill grains. The EHO may ask the staff member how it is cooled, to ensure it is meeting cooling requirements.</w:t>
      </w:r>
    </w:p>
    <w:p w14:paraId="171B141B" w14:textId="7A8519B0" w:rsidR="00CB7716" w:rsidRPr="00F369FA" w:rsidRDefault="00CB7716" w:rsidP="00DA5DD7">
      <w:pPr>
        <w:spacing w:after="240"/>
        <w:rPr>
          <w:rFonts w:cs="Arial"/>
        </w:rPr>
      </w:pPr>
      <w:r w:rsidRPr="48861835">
        <w:rPr>
          <w:rFonts w:cs="Arial"/>
          <w:b/>
        </w:rPr>
        <w:t>Reheating</w:t>
      </w:r>
      <w:r w:rsidRPr="008560D3">
        <w:rPr>
          <w:rFonts w:cs="Arial"/>
          <w:color w:val="0070C0"/>
        </w:rPr>
        <w:t xml:space="preserve"> </w:t>
      </w:r>
      <w:r w:rsidRPr="00F369FA">
        <w:rPr>
          <w:rFonts w:cs="Arial"/>
        </w:rPr>
        <w:t xml:space="preserve">– If the café does not reheat any foods to hold hot, no </w:t>
      </w:r>
      <w:r>
        <w:rPr>
          <w:rFonts w:cs="Arial"/>
        </w:rPr>
        <w:t>record</w:t>
      </w:r>
      <w:r w:rsidRPr="00F369FA">
        <w:rPr>
          <w:rFonts w:cs="Arial"/>
        </w:rPr>
        <w:t xml:space="preserve"> is </w:t>
      </w:r>
      <w:r>
        <w:rPr>
          <w:rFonts w:cs="Arial"/>
        </w:rPr>
        <w:t>needed</w:t>
      </w:r>
      <w:r w:rsidRPr="00F369FA">
        <w:rPr>
          <w:rFonts w:cs="Arial"/>
        </w:rPr>
        <w:t>. If this café uses a pie warmer to keep pastry items warm for service</w:t>
      </w:r>
      <w:r>
        <w:rPr>
          <w:rFonts w:cs="Arial"/>
        </w:rPr>
        <w:t xml:space="preserve">, reheating must be </w:t>
      </w:r>
      <w:r w:rsidRPr="00F369FA">
        <w:rPr>
          <w:rFonts w:cs="Arial"/>
        </w:rPr>
        <w:t>monitore</w:t>
      </w:r>
      <w:r w:rsidR="00B12F37">
        <w:rPr>
          <w:rFonts w:cs="Arial"/>
        </w:rPr>
        <w:t>d</w:t>
      </w:r>
      <w:r w:rsidRPr="00F369FA">
        <w:rPr>
          <w:rFonts w:cs="Arial"/>
        </w:rPr>
        <w:t xml:space="preserve">. The products are reheated before placing in the pie warmer. The </w:t>
      </w:r>
      <w:r>
        <w:rPr>
          <w:rFonts w:cs="Arial"/>
        </w:rPr>
        <w:t xml:space="preserve">pie </w:t>
      </w:r>
      <w:r w:rsidRPr="00F369FA">
        <w:rPr>
          <w:rFonts w:cs="Arial"/>
        </w:rPr>
        <w:t xml:space="preserve">temperature is checked to make sure it is </w:t>
      </w:r>
      <w:r>
        <w:rPr>
          <w:rFonts w:cs="Arial"/>
        </w:rPr>
        <w:t>at least</w:t>
      </w:r>
      <w:r w:rsidRPr="00F369FA">
        <w:rPr>
          <w:rFonts w:cs="Arial"/>
        </w:rPr>
        <w:t xml:space="preserve"> 60</w:t>
      </w:r>
      <w:r w:rsidRPr="00F369FA">
        <w:rPr>
          <w:rFonts w:cs="Arial"/>
          <w:vertAlign w:val="superscript"/>
        </w:rPr>
        <w:t>o</w:t>
      </w:r>
      <w:r w:rsidRPr="00F369FA">
        <w:rPr>
          <w:rFonts w:cs="Arial"/>
        </w:rPr>
        <w:t>C and recorded. As this is a very common practice</w:t>
      </w:r>
      <w:r>
        <w:rPr>
          <w:rFonts w:cs="Arial"/>
        </w:rPr>
        <w:t>,</w:t>
      </w:r>
      <w:r w:rsidRPr="00F369FA">
        <w:rPr>
          <w:rFonts w:cs="Arial"/>
        </w:rPr>
        <w:t xml:space="preserve"> it can also be demonstrated by a SOP. The EHO can check the temperature of the pies in the pie warmer and observe this process is in line with procedure</w:t>
      </w:r>
      <w:r>
        <w:rPr>
          <w:rFonts w:cs="Arial"/>
        </w:rPr>
        <w:t>,</w:t>
      </w:r>
      <w:r w:rsidRPr="00F369FA">
        <w:rPr>
          <w:rFonts w:cs="Arial"/>
        </w:rPr>
        <w:t xml:space="preserve"> or ask questions to confirm understanding. </w:t>
      </w:r>
      <w:r w:rsidR="00B12F37">
        <w:rPr>
          <w:rFonts w:cs="Arial"/>
        </w:rPr>
        <w:t>If the business was able to demonstrate this process to the reasonable satisfaction of an authorised officer, t</w:t>
      </w:r>
      <w:r w:rsidRPr="00F369FA">
        <w:rPr>
          <w:rFonts w:cs="Arial"/>
        </w:rPr>
        <w:t xml:space="preserve">emperatures would then not need to be recorded routinely. </w:t>
      </w:r>
    </w:p>
    <w:p w14:paraId="04DF20F6" w14:textId="77777777" w:rsidR="00CB7716" w:rsidRPr="00F369FA" w:rsidRDefault="00CB7716" w:rsidP="00DA5DD7">
      <w:pPr>
        <w:spacing w:after="240"/>
        <w:rPr>
          <w:rFonts w:cs="Arial"/>
        </w:rPr>
      </w:pPr>
      <w:r w:rsidRPr="00F369FA">
        <w:rPr>
          <w:rFonts w:cs="Arial"/>
        </w:rPr>
        <w:t>If the business only reheats food for immediate service (e.g. takes the pie from the fridge and reheats it in an air fryer for 5 minutes), documenting the temperature is not required, as it is not being hot held.</w:t>
      </w:r>
    </w:p>
    <w:p w14:paraId="7F0025FA" w14:textId="7B2BCC94" w:rsidR="00CB7716" w:rsidRPr="00F369FA" w:rsidRDefault="00CB7716" w:rsidP="00DA5DD7">
      <w:pPr>
        <w:spacing w:after="240"/>
        <w:rPr>
          <w:rFonts w:cs="Arial"/>
        </w:rPr>
      </w:pPr>
      <w:r w:rsidRPr="48861835">
        <w:rPr>
          <w:rFonts w:cs="Arial"/>
          <w:b/>
        </w:rPr>
        <w:t>Food display</w:t>
      </w:r>
      <w:r>
        <w:rPr>
          <w:rFonts w:cs="Arial"/>
          <w:color w:val="0070C0"/>
        </w:rPr>
        <w:t xml:space="preserve"> </w:t>
      </w:r>
      <w:r w:rsidRPr="001312D3">
        <w:rPr>
          <w:rFonts w:cs="Arial"/>
        </w:rPr>
        <w:t>–</w:t>
      </w:r>
      <w:r>
        <w:rPr>
          <w:rFonts w:cs="Arial"/>
          <w:color w:val="0070C0"/>
        </w:rPr>
        <w:t xml:space="preserve"> </w:t>
      </w:r>
      <w:r w:rsidRPr="00F369FA">
        <w:rPr>
          <w:rFonts w:cs="Arial"/>
        </w:rPr>
        <w:t>For direct serve, temperature records would not be required, unless sandwiches were made in advance and food safety was not managed using time.</w:t>
      </w:r>
    </w:p>
    <w:p w14:paraId="43BDD2E5" w14:textId="337D6D76" w:rsidR="00CB7716" w:rsidRPr="00F369FA" w:rsidRDefault="00CB7716" w:rsidP="00DA5DD7">
      <w:pPr>
        <w:spacing w:after="240"/>
        <w:rPr>
          <w:rFonts w:cs="Arial"/>
        </w:rPr>
      </w:pPr>
      <w:r w:rsidRPr="48861835">
        <w:rPr>
          <w:rFonts w:cs="Arial"/>
          <w:b/>
        </w:rPr>
        <w:t>Food transport</w:t>
      </w:r>
      <w:r>
        <w:rPr>
          <w:rFonts w:cs="Arial"/>
          <w:color w:val="0070C0"/>
        </w:rPr>
        <w:t xml:space="preserve"> </w:t>
      </w:r>
      <w:r w:rsidRPr="001312D3">
        <w:rPr>
          <w:rFonts w:cs="Arial"/>
        </w:rPr>
        <w:t>–</w:t>
      </w:r>
      <w:r w:rsidRPr="008560D3">
        <w:rPr>
          <w:rFonts w:cs="Arial"/>
          <w:color w:val="0070C0"/>
        </w:rPr>
        <w:t xml:space="preserve"> </w:t>
      </w:r>
      <w:r w:rsidRPr="00F369FA">
        <w:rPr>
          <w:rFonts w:cs="Arial"/>
        </w:rPr>
        <w:t xml:space="preserve">This business does not transport food </w:t>
      </w:r>
      <w:r>
        <w:rPr>
          <w:rFonts w:cs="Arial"/>
        </w:rPr>
        <w:t xml:space="preserve">so </w:t>
      </w:r>
      <w:r w:rsidRPr="00F369FA">
        <w:rPr>
          <w:rFonts w:cs="Arial"/>
        </w:rPr>
        <w:t>does not require this clause to be monitored. If th</w:t>
      </w:r>
      <w:r>
        <w:rPr>
          <w:rFonts w:cs="Arial"/>
        </w:rPr>
        <w:t>e</w:t>
      </w:r>
      <w:r w:rsidRPr="00F369FA">
        <w:rPr>
          <w:rFonts w:cs="Arial"/>
        </w:rPr>
        <w:t xml:space="preserve"> business decided to become a caterer</w:t>
      </w:r>
      <w:r>
        <w:rPr>
          <w:rFonts w:cs="Arial"/>
        </w:rPr>
        <w:t>,</w:t>
      </w:r>
      <w:r w:rsidRPr="00F369FA">
        <w:rPr>
          <w:rFonts w:cs="Arial"/>
        </w:rPr>
        <w:t xml:space="preserve"> or for example</w:t>
      </w:r>
      <w:r>
        <w:rPr>
          <w:rFonts w:cs="Arial"/>
        </w:rPr>
        <w:t>,</w:t>
      </w:r>
      <w:r w:rsidRPr="00F369FA">
        <w:rPr>
          <w:rFonts w:cs="Arial"/>
        </w:rPr>
        <w:t xml:space="preserve"> sell food to the local school canteen</w:t>
      </w:r>
      <w:r>
        <w:rPr>
          <w:rFonts w:cs="Arial"/>
        </w:rPr>
        <w:t>,</w:t>
      </w:r>
      <w:r w:rsidRPr="00F369FA">
        <w:rPr>
          <w:rFonts w:cs="Arial"/>
        </w:rPr>
        <w:t xml:space="preserve"> time or temperature would need to be monitored and recorded</w:t>
      </w:r>
      <w:r>
        <w:rPr>
          <w:rFonts w:cs="Arial"/>
        </w:rPr>
        <w:t>,</w:t>
      </w:r>
      <w:r w:rsidRPr="00F369FA">
        <w:rPr>
          <w:rFonts w:cs="Arial"/>
        </w:rPr>
        <w:t xml:space="preserve"> or a SOP used</w:t>
      </w:r>
      <w:r w:rsidR="00B12F37">
        <w:rPr>
          <w:rFonts w:cs="Arial"/>
        </w:rPr>
        <w:t xml:space="preserve"> and the business was</w:t>
      </w:r>
      <w:r w:rsidR="00B12F37" w:rsidRPr="00205C2F">
        <w:rPr>
          <w:rFonts w:cs="Arial"/>
          <w:iCs/>
          <w:szCs w:val="22"/>
          <w:lang w:eastAsia="en-AU" w:bidi="ar-SA"/>
        </w:rPr>
        <w:t xml:space="preserve"> able to demonstrate the</w:t>
      </w:r>
      <w:r w:rsidR="00B12F37">
        <w:rPr>
          <w:rFonts w:cs="Arial"/>
          <w:iCs/>
          <w:szCs w:val="22"/>
          <w:lang w:eastAsia="en-AU" w:bidi="ar-SA"/>
        </w:rPr>
        <w:t xml:space="preserve"> reasonable satisfaction of an </w:t>
      </w:r>
      <w:r w:rsidR="00B12F37" w:rsidRPr="00205C2F">
        <w:rPr>
          <w:rFonts w:cs="Arial"/>
          <w:iCs/>
          <w:szCs w:val="22"/>
          <w:lang w:eastAsia="en-AU" w:bidi="ar-SA"/>
        </w:rPr>
        <w:t>authorised officer</w:t>
      </w:r>
      <w:r w:rsidR="00B12F37">
        <w:rPr>
          <w:rFonts w:cs="Arial"/>
          <w:iCs/>
          <w:szCs w:val="22"/>
          <w:lang w:eastAsia="en-AU" w:bidi="ar-SA"/>
        </w:rPr>
        <w:t xml:space="preserve"> that food transport requirements were met</w:t>
      </w:r>
      <w:r w:rsidRPr="00F369FA">
        <w:rPr>
          <w:rFonts w:cs="Arial"/>
        </w:rPr>
        <w:t xml:space="preserve">. </w:t>
      </w:r>
    </w:p>
    <w:p w14:paraId="3B251637" w14:textId="710EA57C" w:rsidR="00DA5DD7" w:rsidRDefault="00CB7716" w:rsidP="00DA5DD7">
      <w:pPr>
        <w:spacing w:after="240"/>
        <w:rPr>
          <w:rFonts w:cs="Arial"/>
        </w:rPr>
      </w:pPr>
      <w:r w:rsidRPr="48861835">
        <w:rPr>
          <w:rFonts w:cs="Arial"/>
          <w:b/>
        </w:rPr>
        <w:t>Cleaning and sanitising</w:t>
      </w:r>
      <w:r w:rsidRPr="68C0CA2D">
        <w:rPr>
          <w:rFonts w:cs="Arial"/>
          <w:color w:val="0070C0"/>
        </w:rPr>
        <w:t xml:space="preserve"> </w:t>
      </w:r>
      <w:r w:rsidRPr="68C0CA2D">
        <w:rPr>
          <w:rFonts w:cs="Arial"/>
        </w:rPr>
        <w:t>–</w:t>
      </w:r>
      <w:r w:rsidRPr="68C0CA2D">
        <w:rPr>
          <w:rFonts w:cs="Arial"/>
          <w:color w:val="0070C0"/>
        </w:rPr>
        <w:t xml:space="preserve"> </w:t>
      </w:r>
      <w:r w:rsidRPr="68C0CA2D">
        <w:rPr>
          <w:rFonts w:cs="Arial"/>
        </w:rPr>
        <w:t xml:space="preserve">Evidence made for these activities may be a schedule with the important areas to clean that is ticked/initialled as the task is completed. It </w:t>
      </w:r>
      <w:r w:rsidR="00B12F37">
        <w:rPr>
          <w:rFonts w:cs="Arial"/>
        </w:rPr>
        <w:t>should</w:t>
      </w:r>
      <w:r w:rsidRPr="68C0CA2D">
        <w:rPr>
          <w:rFonts w:cs="Arial"/>
        </w:rPr>
        <w:t xml:space="preserve"> also include instructions of the chemicals to be used and the process for cleaning and sanitising. This could also include recording a temperature of the dishwasher during operation once a week.</w:t>
      </w:r>
      <w:bookmarkStart w:id="354" w:name="_Toc107412707"/>
    </w:p>
    <w:p w14:paraId="7B286249" w14:textId="174E8A87" w:rsidR="00CB7716" w:rsidRPr="006D619E" w:rsidRDefault="00CB7716" w:rsidP="006D619E">
      <w:pPr>
        <w:pStyle w:val="Heading4"/>
        <w:numPr>
          <w:ilvl w:val="0"/>
          <w:numId w:val="0"/>
        </w:numPr>
        <w:ind w:left="864" w:hanging="864"/>
      </w:pPr>
      <w:r w:rsidRPr="006D619E">
        <w:t>3. An off-site catering business</w:t>
      </w:r>
      <w:bookmarkEnd w:id="354"/>
    </w:p>
    <w:p w14:paraId="574F846D" w14:textId="77777777" w:rsidR="00CB7716" w:rsidRPr="00986631" w:rsidRDefault="00CB7716" w:rsidP="00DA5DD7">
      <w:r w:rsidRPr="00986631">
        <w:t xml:space="preserve">Alex runs a catering business and is making bulk lasagne for another company running a function later that day and the next day. Alex doesn’t sell the lasagne direct to consumers (that is, the business is an off-site caterer). Alex’s business is a </w:t>
      </w:r>
      <w:r w:rsidRPr="00986631">
        <w:rPr>
          <w:b/>
        </w:rPr>
        <w:t>Category 1</w:t>
      </w:r>
      <w:r w:rsidRPr="00986631">
        <w:t xml:space="preserve"> business, because the lasagne is ready to eat and will be served to people to eat at the function. </w:t>
      </w:r>
    </w:p>
    <w:p w14:paraId="209837D2" w14:textId="77777777" w:rsidR="00CB7716" w:rsidRPr="00986631" w:rsidRDefault="00CB7716" w:rsidP="00DA5DD7"/>
    <w:p w14:paraId="0AA22E30" w14:textId="77777777" w:rsidR="00CB7716" w:rsidRPr="00986631" w:rsidRDefault="00CB7716" w:rsidP="00DA5DD7">
      <w:r w:rsidRPr="00986631">
        <w:t xml:space="preserve">Alex needs to manage critical food safety risks with bulk lasagne prepared in advance for the </w:t>
      </w:r>
      <w:r w:rsidRPr="00986631">
        <w:lastRenderedPageBreak/>
        <w:t>function. For example, raw meat, milk and cheese needs to be received cold and kept cold. The lasagne needs to be cooked properly and then cooled safely. Once prepared, the lasagne also needs to be both stored and transported at a temperature that keeps it safe.</w:t>
      </w:r>
    </w:p>
    <w:p w14:paraId="0AD29213" w14:textId="77777777" w:rsidR="00CB7716" w:rsidRPr="00986631" w:rsidRDefault="00CB7716" w:rsidP="00DA5DD7"/>
    <w:p w14:paraId="4B3AA3F1" w14:textId="38AF60D8" w:rsidR="00CB7716" w:rsidRDefault="00CB7716" w:rsidP="00DA5DD7">
      <w:r w:rsidRPr="00986631">
        <w:t xml:space="preserve">As a Category 1 business, Alex will need to have a certified </w:t>
      </w:r>
      <w:r>
        <w:t>FSS</w:t>
      </w:r>
      <w:r w:rsidRPr="00986631">
        <w:t xml:space="preserve">, and the team making the lasagnes will need to have completed food handler training. The business will also have to </w:t>
      </w:r>
      <w:r>
        <w:t>have evidence of, or be able to demonstrate</w:t>
      </w:r>
      <w:r w:rsidR="00550B72">
        <w:t xml:space="preserve"> to the reasonable satisfaction of an authorised officer</w:t>
      </w:r>
      <w:r>
        <w:t xml:space="preserve">, correct food safety controls are in place and monitored. </w:t>
      </w:r>
    </w:p>
    <w:p w14:paraId="39717983" w14:textId="77777777" w:rsidR="00DA5DD7" w:rsidRPr="00594EB3" w:rsidRDefault="00DA5DD7" w:rsidP="00DA5DD7"/>
    <w:p w14:paraId="23B02181" w14:textId="58C443DD" w:rsidR="00CB7716" w:rsidRDefault="00CB7716" w:rsidP="00DA5DD7">
      <w:pPr>
        <w:rPr>
          <w:b/>
          <w:i/>
        </w:rPr>
      </w:pPr>
      <w:r w:rsidRPr="00DA5DD7">
        <w:rPr>
          <w:b/>
          <w:i/>
        </w:rPr>
        <w:t>‘A day in the life’ – off-site caterer (preparing food in advance)</w:t>
      </w:r>
    </w:p>
    <w:p w14:paraId="7C6C6440" w14:textId="77777777" w:rsidR="00DA5DD7" w:rsidRPr="00DA5DD7" w:rsidRDefault="00DA5DD7" w:rsidP="00DA5DD7">
      <w:pPr>
        <w:rPr>
          <w:b/>
          <w:i/>
        </w:rPr>
      </w:pPr>
    </w:p>
    <w:p w14:paraId="37021A3F" w14:textId="77777777" w:rsidR="00CB7716" w:rsidRDefault="00CB7716" w:rsidP="00DA5DD7">
      <w:pPr>
        <w:rPr>
          <w:rFonts w:cs="Arial"/>
          <w:color w:val="4F81BD" w:themeColor="accent1"/>
        </w:rPr>
      </w:pPr>
      <w:r>
        <w:rPr>
          <w:rFonts w:cs="Arial"/>
        </w:rPr>
        <w:t>This example explains how a caterer could implement the evidence tool for key activities (listed (a) to (</w:t>
      </w:r>
      <w:proofErr w:type="spellStart"/>
      <w:r>
        <w:rPr>
          <w:rFonts w:cs="Arial"/>
        </w:rPr>
        <w:t>i</w:t>
      </w:r>
      <w:proofErr w:type="spellEnd"/>
      <w:r>
        <w:rPr>
          <w:rFonts w:cs="Arial"/>
        </w:rPr>
        <w:t>) in the proposed draft standard).</w:t>
      </w:r>
    </w:p>
    <w:p w14:paraId="04F0A7D1" w14:textId="77777777" w:rsidR="00F72B9F" w:rsidRDefault="00F72B9F" w:rsidP="00DA5DD7">
      <w:pPr>
        <w:rPr>
          <w:rFonts w:cs="Arial"/>
          <w:b/>
        </w:rPr>
      </w:pPr>
    </w:p>
    <w:p w14:paraId="66B5A831" w14:textId="2678D784" w:rsidR="00CB7716" w:rsidRDefault="00CB7716" w:rsidP="00DA5DD7">
      <w:pPr>
        <w:rPr>
          <w:rFonts w:cs="Arial"/>
          <w:color w:val="44546A"/>
        </w:rPr>
      </w:pPr>
      <w:r w:rsidRPr="48861835">
        <w:rPr>
          <w:rFonts w:cs="Arial"/>
          <w:b/>
        </w:rPr>
        <w:t>Food receipt</w:t>
      </w:r>
      <w:r w:rsidRPr="00C44B6F">
        <w:rPr>
          <w:rFonts w:cs="Arial"/>
          <w:color w:val="0070C0"/>
        </w:rPr>
        <w:t xml:space="preserve"> </w:t>
      </w:r>
      <w:r w:rsidRPr="00C44B6F">
        <w:rPr>
          <w:rFonts w:cs="Arial"/>
        </w:rPr>
        <w:t xml:space="preserve">– The caterer either picks up food from the supermarket, has delivery by a </w:t>
      </w:r>
      <w:r w:rsidRPr="00F50A7A">
        <w:rPr>
          <w:rFonts w:cs="Arial"/>
        </w:rPr>
        <w:t>supermarket</w:t>
      </w:r>
      <w:r>
        <w:rPr>
          <w:rFonts w:cs="Arial"/>
        </w:rPr>
        <w:t>,</w:t>
      </w:r>
      <w:r w:rsidRPr="00F50A7A">
        <w:rPr>
          <w:rFonts w:cs="Arial"/>
        </w:rPr>
        <w:t xml:space="preserve"> or receives food from a dis</w:t>
      </w:r>
      <w:r>
        <w:rPr>
          <w:rFonts w:cs="Arial"/>
        </w:rPr>
        <w:t>tributor the same as above for the café example. The s</w:t>
      </w:r>
      <w:r w:rsidRPr="00F50A7A">
        <w:rPr>
          <w:rFonts w:cs="Arial"/>
        </w:rPr>
        <w:t xml:space="preserve">ame process applies as </w:t>
      </w:r>
      <w:r>
        <w:rPr>
          <w:rFonts w:cs="Arial"/>
        </w:rPr>
        <w:t>the above example</w:t>
      </w:r>
      <w:r w:rsidRPr="00F50A7A">
        <w:rPr>
          <w:rFonts w:cs="Arial"/>
        </w:rPr>
        <w:t xml:space="preserve"> for the café.</w:t>
      </w:r>
    </w:p>
    <w:p w14:paraId="74450FD2" w14:textId="77777777" w:rsidR="00F72B9F" w:rsidRDefault="00F72B9F" w:rsidP="00DA5DD7">
      <w:pPr>
        <w:rPr>
          <w:rFonts w:cs="Arial"/>
          <w:b/>
        </w:rPr>
      </w:pPr>
    </w:p>
    <w:p w14:paraId="620260AD" w14:textId="34645F45" w:rsidR="00CB7716" w:rsidRDefault="00CB7716" w:rsidP="00DA5DD7">
      <w:pPr>
        <w:rPr>
          <w:rFonts w:cs="Arial"/>
          <w:color w:val="44546A"/>
        </w:rPr>
      </w:pPr>
      <w:r w:rsidRPr="48861835">
        <w:rPr>
          <w:rFonts w:cs="Arial"/>
          <w:b/>
        </w:rPr>
        <w:t>Food storage</w:t>
      </w:r>
      <w:r w:rsidRPr="00F50A7A">
        <w:rPr>
          <w:rFonts w:cs="Arial"/>
          <w:color w:val="4F81BD" w:themeColor="accent1"/>
        </w:rPr>
        <w:t xml:space="preserve"> </w:t>
      </w:r>
      <w:r w:rsidRPr="00C44B6F">
        <w:rPr>
          <w:rFonts w:cs="Arial"/>
        </w:rPr>
        <w:t xml:space="preserve">– </w:t>
      </w:r>
      <w:r w:rsidRPr="004717B9">
        <w:rPr>
          <w:rFonts w:cs="Arial"/>
        </w:rPr>
        <w:t>T</w:t>
      </w:r>
      <w:r w:rsidRPr="00F50A7A">
        <w:rPr>
          <w:rFonts w:cs="Arial"/>
        </w:rPr>
        <w:t xml:space="preserve">he process is also the same as the café. The food or the cool room, fridge air temperature (or ideally the probe is in water) is checked for temperature control and recorded. If this caterer is quite large, they may also decide to have the cool room/fridge monitored by a data logger or alarm. </w:t>
      </w:r>
      <w:r w:rsidR="00550B72">
        <w:rPr>
          <w:rFonts w:cs="Arial"/>
        </w:rPr>
        <w:t>In which case, t</w:t>
      </w:r>
      <w:r w:rsidRPr="00F50A7A">
        <w:rPr>
          <w:rFonts w:cs="Arial"/>
        </w:rPr>
        <w:t>hey do not have to record the temperature monitoring daily but should check that the readings are correct and can show this readout to the EHO upon request.</w:t>
      </w:r>
    </w:p>
    <w:p w14:paraId="735C886F" w14:textId="77777777" w:rsidR="00F72B9F" w:rsidRDefault="00F72B9F" w:rsidP="00DA5DD7">
      <w:pPr>
        <w:rPr>
          <w:rFonts w:cs="Arial"/>
          <w:b/>
        </w:rPr>
      </w:pPr>
    </w:p>
    <w:p w14:paraId="1043B6E0" w14:textId="619D874D" w:rsidR="00CB7716" w:rsidRPr="00F50A7A" w:rsidRDefault="00CB7716" w:rsidP="00DA5DD7">
      <w:pPr>
        <w:rPr>
          <w:rFonts w:cs="Arial"/>
        </w:rPr>
      </w:pPr>
      <w:r w:rsidRPr="48861835">
        <w:rPr>
          <w:rFonts w:cs="Arial"/>
          <w:b/>
        </w:rPr>
        <w:t>Achieving microbiological safety of food</w:t>
      </w:r>
      <w:r w:rsidRPr="00F50A7A">
        <w:rPr>
          <w:rFonts w:cs="Arial"/>
          <w:color w:val="4F81BD" w:themeColor="accent1"/>
        </w:rPr>
        <w:t xml:space="preserve"> </w:t>
      </w:r>
      <w:r w:rsidRPr="004717B9">
        <w:rPr>
          <w:rFonts w:cs="Arial"/>
        </w:rPr>
        <w:t xml:space="preserve">– </w:t>
      </w:r>
      <w:r w:rsidRPr="00F50A7A">
        <w:rPr>
          <w:rFonts w:cs="Arial"/>
        </w:rPr>
        <w:t>The caterer cooks chicken and beef, sous vide in a water bath. The caterer must be able to demonstrate that they know the time and temperature requirements to ensure the food is safe (e.g. 65</w:t>
      </w:r>
      <w:r w:rsidRPr="00F50A7A">
        <w:rPr>
          <w:rFonts w:cs="Arial"/>
          <w:vertAlign w:val="superscript"/>
        </w:rPr>
        <w:t>o</w:t>
      </w:r>
      <w:r w:rsidRPr="00F50A7A">
        <w:rPr>
          <w:rFonts w:cs="Arial"/>
        </w:rPr>
        <w:t>C for 10 minutes + 150 minutes, the time taken to heat the 4 cm thickness of food to this temperature for cooking). The batch food thickness and heating + cooking time should be recorded.</w:t>
      </w:r>
    </w:p>
    <w:p w14:paraId="10CB63AE" w14:textId="77777777" w:rsidR="00CB7716" w:rsidRPr="00F50A7A" w:rsidRDefault="00CB7716" w:rsidP="00DA5DD7">
      <w:pPr>
        <w:rPr>
          <w:rFonts w:cs="Arial"/>
        </w:rPr>
      </w:pPr>
      <w:r w:rsidRPr="68C0CA2D">
        <w:rPr>
          <w:rFonts w:cs="Arial"/>
        </w:rPr>
        <w:t xml:space="preserve">The caterer cooks trays of chicken Kiev’s in the oven. The largest chicken piece should be checked to ensure that this is cooked thoroughly to the core and recorded. </w:t>
      </w:r>
    </w:p>
    <w:p w14:paraId="137F0F26" w14:textId="77777777" w:rsidR="00F72B9F" w:rsidRDefault="00F72B9F" w:rsidP="00DA5DD7">
      <w:pPr>
        <w:rPr>
          <w:rFonts w:cs="Arial"/>
          <w:b/>
        </w:rPr>
      </w:pPr>
    </w:p>
    <w:p w14:paraId="65BBB571" w14:textId="5A3ED3CC" w:rsidR="00CB7716" w:rsidRDefault="00CB7716" w:rsidP="00DA5DD7">
      <w:pPr>
        <w:rPr>
          <w:rFonts w:cs="Arial"/>
          <w:color w:val="44546A"/>
        </w:rPr>
      </w:pPr>
      <w:r w:rsidRPr="02C895D1">
        <w:rPr>
          <w:rFonts w:cs="Arial"/>
          <w:b/>
          <w:bCs/>
        </w:rPr>
        <w:t>Minimising processing time</w:t>
      </w:r>
      <w:r w:rsidRPr="02C895D1">
        <w:rPr>
          <w:rFonts w:cs="Arial"/>
          <w:color w:val="4F81BD" w:themeColor="accent1"/>
        </w:rPr>
        <w:t xml:space="preserve"> </w:t>
      </w:r>
      <w:r w:rsidRPr="02C895D1">
        <w:rPr>
          <w:rFonts w:cs="Arial"/>
          <w:color w:val="44546A"/>
        </w:rPr>
        <w:t xml:space="preserve">– </w:t>
      </w:r>
      <w:r w:rsidRPr="02C895D1">
        <w:rPr>
          <w:rFonts w:cs="Arial"/>
        </w:rPr>
        <w:t>The caterer prepares bulk sandwiches and also slices the sous vide meat to be used at the event the next day. The caterer has a process where they bring the sandwich ingredients and cooked meat out of the fridge for 1 hour, and after two trays have been filled, put that batch of sandwiches in the fridge before starting on the next two trays. They repeat this process until all the ingredients are used or the 1 hour is reached, and they place the ingredients back in the fridge. Alternatively, they have a chilled Bain Marie (as per the café requirements) to store their ingredients under temperature control. A SOP could be developed for this and</w:t>
      </w:r>
      <w:r w:rsidR="00550B72">
        <w:rPr>
          <w:rFonts w:cs="Arial"/>
        </w:rPr>
        <w:t xml:space="preserve"> would need to be</w:t>
      </w:r>
      <w:r w:rsidRPr="02C895D1">
        <w:rPr>
          <w:rFonts w:cs="Arial"/>
        </w:rPr>
        <w:t xml:space="preserve"> confirmed by the EHO on site</w:t>
      </w:r>
      <w:r w:rsidR="00550B72">
        <w:rPr>
          <w:rFonts w:cs="Arial"/>
        </w:rPr>
        <w:t xml:space="preserve"> that this demonstrates compliance</w:t>
      </w:r>
      <w:r w:rsidRPr="02C895D1">
        <w:rPr>
          <w:rFonts w:cs="Arial"/>
        </w:rPr>
        <w:t xml:space="preserve">. Otherwise, the time the ingredients come out of the fridge, and the time they are used up, or put back in, could be recorded. </w:t>
      </w:r>
    </w:p>
    <w:p w14:paraId="0160FCCB" w14:textId="77777777" w:rsidR="00F72B9F" w:rsidRDefault="00F72B9F" w:rsidP="00DA5DD7">
      <w:pPr>
        <w:rPr>
          <w:rFonts w:cs="Arial"/>
          <w:b/>
        </w:rPr>
      </w:pPr>
    </w:p>
    <w:p w14:paraId="6D2CA8D5" w14:textId="060ED07D" w:rsidR="00CB7716" w:rsidRDefault="00CB7716" w:rsidP="00DA5DD7">
      <w:pPr>
        <w:rPr>
          <w:rFonts w:cs="Arial"/>
          <w:color w:val="44546A"/>
        </w:rPr>
      </w:pPr>
      <w:r w:rsidRPr="48861835">
        <w:rPr>
          <w:rFonts w:cs="Arial"/>
          <w:b/>
        </w:rPr>
        <w:t>Food cooling</w:t>
      </w:r>
      <w:r w:rsidRPr="00F50A7A">
        <w:rPr>
          <w:rFonts w:cs="Arial"/>
          <w:color w:val="4F81BD" w:themeColor="accent1"/>
        </w:rPr>
        <w:t xml:space="preserve"> </w:t>
      </w:r>
      <w:r>
        <w:rPr>
          <w:rFonts w:cs="Arial"/>
          <w:color w:val="44546A"/>
        </w:rPr>
        <w:t xml:space="preserve">– </w:t>
      </w:r>
      <w:r w:rsidRPr="00F50A7A">
        <w:rPr>
          <w:rFonts w:cs="Arial"/>
        </w:rPr>
        <w:t xml:space="preserve">Food is cooked by this caterer the day </w:t>
      </w:r>
      <w:r>
        <w:rPr>
          <w:rFonts w:cs="Arial"/>
        </w:rPr>
        <w:t>before</w:t>
      </w:r>
      <w:r w:rsidRPr="00F50A7A">
        <w:rPr>
          <w:rFonts w:cs="Arial"/>
        </w:rPr>
        <w:t xml:space="preserve"> the event. Cooling requirements would be similar </w:t>
      </w:r>
      <w:r>
        <w:rPr>
          <w:rFonts w:cs="Arial"/>
        </w:rPr>
        <w:t>as for</w:t>
      </w:r>
      <w:r w:rsidRPr="00F50A7A">
        <w:rPr>
          <w:rFonts w:cs="Arial"/>
        </w:rPr>
        <w:t xml:space="preserve"> the café</w:t>
      </w:r>
      <w:r>
        <w:rPr>
          <w:rFonts w:cs="Arial"/>
        </w:rPr>
        <w:t>,</w:t>
      </w:r>
      <w:r w:rsidRPr="00F50A7A">
        <w:rPr>
          <w:rFonts w:cs="Arial"/>
        </w:rPr>
        <w:t xml:space="preserve"> with either the largest </w:t>
      </w:r>
      <w:r>
        <w:rPr>
          <w:rFonts w:cs="Arial"/>
        </w:rPr>
        <w:t xml:space="preserve">food </w:t>
      </w:r>
      <w:r w:rsidRPr="00F50A7A">
        <w:rPr>
          <w:rFonts w:cs="Arial"/>
        </w:rPr>
        <w:t>volume monitored and recorded for each batch</w:t>
      </w:r>
      <w:r>
        <w:rPr>
          <w:rFonts w:cs="Arial"/>
        </w:rPr>
        <w:t>,</w:t>
      </w:r>
      <w:r w:rsidRPr="00F50A7A">
        <w:rPr>
          <w:rFonts w:cs="Arial"/>
        </w:rPr>
        <w:t xml:space="preserve"> or a SOP could be used where the size, food type and process is consistent and temperatures previously validated.</w:t>
      </w:r>
    </w:p>
    <w:p w14:paraId="1770B48B" w14:textId="77777777" w:rsidR="00F72B9F" w:rsidRDefault="00F72B9F" w:rsidP="00DA5DD7">
      <w:pPr>
        <w:rPr>
          <w:rFonts w:cs="Arial"/>
          <w:b/>
        </w:rPr>
      </w:pPr>
    </w:p>
    <w:p w14:paraId="6555EC16" w14:textId="47DC18B1" w:rsidR="00CB7716" w:rsidRPr="00F50A7A" w:rsidRDefault="00CB7716" w:rsidP="00DA5DD7">
      <w:pPr>
        <w:rPr>
          <w:rFonts w:cs="Arial"/>
        </w:rPr>
      </w:pPr>
      <w:r w:rsidRPr="02C895D1">
        <w:rPr>
          <w:rFonts w:cs="Arial"/>
          <w:b/>
          <w:bCs/>
        </w:rPr>
        <w:t>Food reheating</w:t>
      </w:r>
      <w:r w:rsidRPr="02C895D1">
        <w:rPr>
          <w:rFonts w:cs="Arial"/>
          <w:color w:val="4F81BD" w:themeColor="accent1"/>
        </w:rPr>
        <w:t xml:space="preserve"> </w:t>
      </w:r>
      <w:r w:rsidRPr="02C895D1">
        <w:rPr>
          <w:rFonts w:cs="Arial"/>
        </w:rPr>
        <w:t>– The caterer reheats the sliced sous vide chicken and places it in a hot Bain Marie for plating and service. The temperature of the chicken is checked to make sure it is 60</w:t>
      </w:r>
      <w:r w:rsidRPr="02C895D1">
        <w:rPr>
          <w:rFonts w:cs="Arial"/>
          <w:vertAlign w:val="superscript"/>
        </w:rPr>
        <w:t>o</w:t>
      </w:r>
      <w:r w:rsidRPr="02C895D1">
        <w:rPr>
          <w:rFonts w:cs="Arial"/>
        </w:rPr>
        <w:t>C or above. This food is all plated, served and consumed within 1.5 hours. If the food was not consumed within 2 hours, the temperature of the chicken would be rechecked and recorded to ensure it was being held under temperature control.</w:t>
      </w:r>
    </w:p>
    <w:p w14:paraId="3EE7D3E5" w14:textId="77777777" w:rsidR="00F72B9F" w:rsidRDefault="00F72B9F" w:rsidP="00DA5DD7">
      <w:pPr>
        <w:rPr>
          <w:rFonts w:cs="Arial"/>
          <w:b/>
        </w:rPr>
      </w:pPr>
    </w:p>
    <w:p w14:paraId="2C4EF9CF" w14:textId="1B5BC268" w:rsidR="00CB7716" w:rsidRPr="00F50A7A" w:rsidRDefault="00CB7716" w:rsidP="00DA5DD7">
      <w:pPr>
        <w:rPr>
          <w:rFonts w:cs="Arial"/>
        </w:rPr>
      </w:pPr>
      <w:r w:rsidRPr="02C895D1">
        <w:rPr>
          <w:rFonts w:cs="Arial"/>
          <w:b/>
          <w:bCs/>
        </w:rPr>
        <w:lastRenderedPageBreak/>
        <w:t xml:space="preserve">Food display </w:t>
      </w:r>
      <w:r w:rsidRPr="02C895D1">
        <w:rPr>
          <w:rFonts w:cs="Arial"/>
        </w:rPr>
        <w:t>– This caterer does not display food at every event, although on occasions will provide a self-serve option for the client, where Bain Marie equipment is available. Requirements are similar to the previous example e.g. If the food was not consumed within 2 hours, the temperature of the chicken would be rechecked and recorded to ensure it was being held under temperature control.</w:t>
      </w:r>
    </w:p>
    <w:p w14:paraId="3465BDD8" w14:textId="77777777" w:rsidR="00F72B9F" w:rsidRDefault="00F72B9F" w:rsidP="00DA5DD7">
      <w:pPr>
        <w:rPr>
          <w:rFonts w:cs="Arial"/>
          <w:b/>
        </w:rPr>
      </w:pPr>
    </w:p>
    <w:p w14:paraId="6CD250AA" w14:textId="1D49D464" w:rsidR="00CB7716" w:rsidRDefault="00CB7716" w:rsidP="00DA5DD7">
      <w:pPr>
        <w:rPr>
          <w:rFonts w:cs="Arial"/>
          <w:color w:val="44546A"/>
        </w:rPr>
      </w:pPr>
      <w:r w:rsidRPr="48861835">
        <w:rPr>
          <w:rFonts w:cs="Arial"/>
          <w:b/>
        </w:rPr>
        <w:t xml:space="preserve">Food transport </w:t>
      </w:r>
      <w:r w:rsidRPr="00F50A7A">
        <w:rPr>
          <w:rFonts w:cs="Arial"/>
        </w:rPr>
        <w:t xml:space="preserve">– This caterer has a refrigerated delivery van to transport the food under temperature control. The caterer may monitor and record the temperature of the van cavity or record the temperature of the food in the van. The caterer also uses a non-refrigerated van when they have large events. Food safety is maintained by packaging food in </w:t>
      </w:r>
      <w:proofErr w:type="spellStart"/>
      <w:r w:rsidRPr="00F50A7A">
        <w:rPr>
          <w:rFonts w:cs="Arial"/>
        </w:rPr>
        <w:t>eskies</w:t>
      </w:r>
      <w:proofErr w:type="spellEnd"/>
      <w:r w:rsidRPr="00F50A7A">
        <w:rPr>
          <w:rFonts w:cs="Arial"/>
        </w:rPr>
        <w:t xml:space="preserve"> or ensuring time out of temperature control is minimised. The temperature of the food on delivery to the event should be checked and recorded</w:t>
      </w:r>
      <w:r>
        <w:rPr>
          <w:rFonts w:cs="Arial"/>
        </w:rPr>
        <w:t>,</w:t>
      </w:r>
      <w:r w:rsidRPr="00F50A7A">
        <w:rPr>
          <w:rFonts w:cs="Arial"/>
        </w:rPr>
        <w:t xml:space="preserve"> or time recorded if the event was less than 2 hours’ drive.</w:t>
      </w:r>
    </w:p>
    <w:p w14:paraId="632DE6FB" w14:textId="77777777" w:rsidR="00F72B9F" w:rsidRDefault="00F72B9F" w:rsidP="00DA5DD7">
      <w:pPr>
        <w:rPr>
          <w:rFonts w:cs="Arial"/>
          <w:b/>
        </w:rPr>
      </w:pPr>
    </w:p>
    <w:p w14:paraId="5B6D7B1F" w14:textId="712B4A46" w:rsidR="00CB7716" w:rsidRDefault="00CB7716" w:rsidP="00DA5DD7">
      <w:pPr>
        <w:rPr>
          <w:rFonts w:cs="Arial"/>
        </w:rPr>
      </w:pPr>
      <w:r w:rsidRPr="48861835">
        <w:rPr>
          <w:rFonts w:cs="Arial"/>
          <w:b/>
        </w:rPr>
        <w:t>Cleaning and sanitising</w:t>
      </w:r>
      <w:r w:rsidRPr="68C0CA2D">
        <w:rPr>
          <w:rFonts w:cs="Arial"/>
          <w:color w:val="4F81BD" w:themeColor="accent1"/>
        </w:rPr>
        <w:t xml:space="preserve"> </w:t>
      </w:r>
      <w:r w:rsidRPr="68C0CA2D">
        <w:rPr>
          <w:rFonts w:cs="Arial"/>
        </w:rPr>
        <w:t>– Evidence kept for this may be a schedule with the important areas to clean, which is ticked/initialled as the task is completed. It may also include instructions of the chemicals to be used (contact time, dilution, rinse or no rinse, etc.) and the process for cleaning and sanitising. This could also include recording a temperature of the dishwasher during operation once a week. Cleaning and sanitising of equipment at the venue may also need to be considered for this caterer.</w:t>
      </w:r>
    </w:p>
    <w:p w14:paraId="12194DB9" w14:textId="77777777" w:rsidR="00CB7716" w:rsidRPr="006D619E" w:rsidRDefault="00CB7716" w:rsidP="006D619E">
      <w:pPr>
        <w:pStyle w:val="Heading4"/>
        <w:numPr>
          <w:ilvl w:val="0"/>
          <w:numId w:val="0"/>
        </w:numPr>
        <w:ind w:left="864" w:hanging="864"/>
      </w:pPr>
      <w:bookmarkStart w:id="355" w:name="_Toc107412708"/>
      <w:r w:rsidRPr="006D619E">
        <w:t>4. A delicatessen</w:t>
      </w:r>
      <w:bookmarkEnd w:id="355"/>
      <w:r w:rsidRPr="006D619E">
        <w:t xml:space="preserve"> </w:t>
      </w:r>
    </w:p>
    <w:p w14:paraId="6FC7768A" w14:textId="77777777" w:rsidR="00CB7716" w:rsidRPr="00986631" w:rsidRDefault="00CB7716" w:rsidP="00DA5DD7">
      <w:pPr>
        <w:spacing w:after="240"/>
      </w:pPr>
      <w:r w:rsidRPr="00986631">
        <w:t xml:space="preserve">Robbie owns a deli business in WA that sells cheeses, cured and cooked meats, and cooked seafood. He buys pre-packaged products in bulk, then he and his team open and divide them into smaller portions or slices to sell to consumers. Robbie’s business is a Category 2 business because it doesn’t make the deli food, it just minimally processes it (e.g. slices, weighs, wraps it in paper) to sell to consumers. </w:t>
      </w:r>
    </w:p>
    <w:p w14:paraId="03E9A7C1" w14:textId="77777777" w:rsidR="00CB7716" w:rsidRPr="00986631" w:rsidRDefault="00CB7716" w:rsidP="00DA5DD7">
      <w:pPr>
        <w:spacing w:after="240"/>
      </w:pPr>
      <w:r w:rsidRPr="00986631">
        <w:t xml:space="preserve">Robbie and his team need to understand and manage critical food safety risks with the unpackaged deli foods while they unwrap them, portion them out, display and serve them. </w:t>
      </w:r>
    </w:p>
    <w:p w14:paraId="530B6F7C" w14:textId="77777777" w:rsidR="00CB7716" w:rsidRPr="00F50A7A" w:rsidRDefault="00CB7716" w:rsidP="00DA5DD7">
      <w:pPr>
        <w:spacing w:after="240"/>
      </w:pPr>
      <w:r w:rsidRPr="00F50A7A">
        <w:t xml:space="preserve">Under the new standard, Robbie will need to be or have a qualified </w:t>
      </w:r>
      <w:r>
        <w:t>FSS</w:t>
      </w:r>
      <w:r w:rsidRPr="00F50A7A">
        <w:t xml:space="preserve">, and his three staff who directly handle unpackaged deli foods will need to complete food handler training. Robbie will not have to keep records of food temperatures or cleaning and sanitising, although this is best practice and would help him to be sure </w:t>
      </w:r>
      <w:r>
        <w:t>things have been done properly.</w:t>
      </w:r>
    </w:p>
    <w:p w14:paraId="78C0BA2A" w14:textId="77777777" w:rsidR="00CB7716" w:rsidRPr="006D619E" w:rsidRDefault="00CB7716" w:rsidP="006D619E">
      <w:pPr>
        <w:pStyle w:val="Heading4"/>
        <w:numPr>
          <w:ilvl w:val="0"/>
          <w:numId w:val="0"/>
        </w:numPr>
        <w:ind w:left="864" w:hanging="864"/>
      </w:pPr>
      <w:bookmarkStart w:id="356" w:name="_Toc107412709"/>
      <w:r w:rsidRPr="006D619E">
        <w:t>5. A café that serves pre-prepared snacks and lunches</w:t>
      </w:r>
      <w:bookmarkEnd w:id="356"/>
    </w:p>
    <w:p w14:paraId="14B2E076" w14:textId="77777777" w:rsidR="00CB7716" w:rsidRPr="00986631" w:rsidRDefault="00CB7716" w:rsidP="00DA5DD7">
      <w:pPr>
        <w:spacing w:after="240"/>
      </w:pPr>
      <w:r w:rsidRPr="00986631">
        <w:t>Jess runs a small café alongside her art and craft gallery</w:t>
      </w:r>
      <w:r>
        <w:t xml:space="preserve"> in Tasmania</w:t>
      </w:r>
      <w:r w:rsidRPr="00986631">
        <w:t>. She sells unpackaged sandwiches, quiches and pre-cut fruits and salads made by another company. Jess doesn’t do any of the cooking or other food preparation herself; she just serves out portions to her customers. Jess’s café is a Category 2 business because it doesn’t make the food, but minimally processes by taking the sandwich out of the package, or reheat</w:t>
      </w:r>
      <w:r>
        <w:t>s</w:t>
      </w:r>
      <w:r w:rsidRPr="00986631">
        <w:t xml:space="preserve"> the quiche, before serving. </w:t>
      </w:r>
    </w:p>
    <w:p w14:paraId="67D1F804" w14:textId="77777777" w:rsidR="00CB7716" w:rsidRPr="00F50A7A" w:rsidRDefault="00CB7716" w:rsidP="00DA5DD7">
      <w:pPr>
        <w:spacing w:after="240"/>
      </w:pPr>
      <w:r w:rsidRPr="00F50A7A">
        <w:t xml:space="preserve">Under the new standard, as Jess is the only food handler in the business, she will need to be a qualified </w:t>
      </w:r>
      <w:r>
        <w:t>FSS.</w:t>
      </w:r>
      <w:r w:rsidRPr="00F50A7A">
        <w:t xml:space="preserve"> She doesn’t have to do the additional food handler training because the </w:t>
      </w:r>
      <w:r>
        <w:t>FSS</w:t>
      </w:r>
      <w:r w:rsidRPr="00F50A7A">
        <w:t xml:space="preserve"> qualifications cover the FH training content. Jess will not </w:t>
      </w:r>
      <w:r>
        <w:t>need</w:t>
      </w:r>
      <w:r w:rsidRPr="00F50A7A">
        <w:t xml:space="preserve"> to keep records of food temperatures or cleaning and sanitising, although this is best practice and would help make sure things have been done properly.</w:t>
      </w:r>
    </w:p>
    <w:p w14:paraId="03A38D00" w14:textId="1CDDACDA" w:rsidR="00CB7716" w:rsidRPr="00986631" w:rsidRDefault="00CB7716" w:rsidP="00DA5DD7">
      <w:pPr>
        <w:spacing w:after="240"/>
      </w:pPr>
      <w:r w:rsidRPr="00F50A7A">
        <w:t>However, if Jess decides to start making her own food she would need to consider whether this food is a potentially hazardous food and would mean that her business becomes a Category 1 business, requiring her to keep evidence of the safe handling of that food.</w:t>
      </w:r>
    </w:p>
    <w:p w14:paraId="3464EEE0" w14:textId="4DCE650B" w:rsidR="00CB7716" w:rsidRPr="00986631" w:rsidRDefault="00CB7716" w:rsidP="0025246D">
      <w:pPr>
        <w:pStyle w:val="Heading3"/>
        <w:numPr>
          <w:ilvl w:val="0"/>
          <w:numId w:val="0"/>
        </w:numPr>
        <w:ind w:left="720" w:hanging="720"/>
      </w:pPr>
      <w:bookmarkStart w:id="357" w:name="_Toc104808619"/>
      <w:bookmarkStart w:id="358" w:name="_Toc107412710"/>
      <w:bookmarkStart w:id="359" w:name="_Toc109300463"/>
      <w:r w:rsidRPr="00986631">
        <w:lastRenderedPageBreak/>
        <w:t xml:space="preserve">Examples of where </w:t>
      </w:r>
      <w:r>
        <w:t xml:space="preserve">proposed </w:t>
      </w:r>
      <w:r w:rsidRPr="00986631">
        <w:t xml:space="preserve">Standard 3.2.2A </w:t>
      </w:r>
      <w:r>
        <w:t>would</w:t>
      </w:r>
      <w:r w:rsidRPr="00986631">
        <w:t xml:space="preserve"> NOT apply:</w:t>
      </w:r>
      <w:bookmarkEnd w:id="357"/>
      <w:bookmarkEnd w:id="358"/>
      <w:bookmarkEnd w:id="359"/>
    </w:p>
    <w:p w14:paraId="1F2CD1DB" w14:textId="77777777" w:rsidR="00CB7716" w:rsidRPr="00DA5DD7" w:rsidRDefault="00CB7716" w:rsidP="0025246D">
      <w:pPr>
        <w:pStyle w:val="Heading4"/>
        <w:numPr>
          <w:ilvl w:val="0"/>
          <w:numId w:val="0"/>
        </w:numPr>
        <w:ind w:left="864" w:hanging="864"/>
      </w:pPr>
      <w:bookmarkStart w:id="360" w:name="_Toc107412711"/>
      <w:r w:rsidRPr="00DA5DD7">
        <w:t>1. Service station that sells pre-packaged foods</w:t>
      </w:r>
      <w:bookmarkEnd w:id="360"/>
      <w:r w:rsidRPr="00DA5DD7">
        <w:t xml:space="preserve"> </w:t>
      </w:r>
    </w:p>
    <w:p w14:paraId="3EFD3079" w14:textId="055C731C" w:rsidR="00CB7716" w:rsidRPr="00986631" w:rsidRDefault="00CB7716" w:rsidP="00DA5DD7">
      <w:pPr>
        <w:spacing w:after="240"/>
      </w:pPr>
      <w:r w:rsidRPr="00986631">
        <w:t>Jay’s service station sells pre-made, pre-packaged sandwiches, sausage rolls</w:t>
      </w:r>
      <w:r>
        <w:t>,</w:t>
      </w:r>
      <w:r w:rsidRPr="00986631">
        <w:t xml:space="preserve"> and pies prepared by another business. Jay buys these foods in cartons of single-wrapped units and simply places them in a display fridge or hot oven unit ready to sell to consumers.</w:t>
      </w:r>
      <w:r>
        <w:t xml:space="preserve"> The proposed s</w:t>
      </w:r>
      <w:r w:rsidRPr="00986631">
        <w:t xml:space="preserve">tandard </w:t>
      </w:r>
      <w:r>
        <w:t>would</w:t>
      </w:r>
      <w:r w:rsidRPr="00986631">
        <w:t xml:space="preserve">n’t apply to Jay’s business, because it only sells food that’s been kept in its original packaging. </w:t>
      </w:r>
    </w:p>
    <w:p w14:paraId="1239601C" w14:textId="2F0D3C81" w:rsidR="00CB7716" w:rsidRPr="00986631" w:rsidRDefault="00CB7716" w:rsidP="00DA5DD7">
      <w:pPr>
        <w:spacing w:after="240"/>
      </w:pPr>
      <w:r w:rsidRPr="00986631">
        <w:t xml:space="preserve">Jay’s food safety risks are lower than a Category 1 or 2 business because the food remains packaged. He </w:t>
      </w:r>
      <w:r>
        <w:t>mainly</w:t>
      </w:r>
      <w:r w:rsidRPr="00986631">
        <w:t xml:space="preserve"> just needs to safely store and display the food. </w:t>
      </w:r>
      <w:r w:rsidR="00DA5DD7">
        <w:t>The business</w:t>
      </w:r>
      <w:r w:rsidRPr="00986631">
        <w:t xml:space="preserve"> will still need to comply with the general food safety requiremen</w:t>
      </w:r>
      <w:r>
        <w:t>ts of Standard 3.2.2 and 3.2.3.</w:t>
      </w:r>
    </w:p>
    <w:p w14:paraId="3E28D6F5" w14:textId="2F85FEA7" w:rsidR="00CB7716" w:rsidRPr="00DA5DD7" w:rsidRDefault="00CB7716" w:rsidP="0025246D">
      <w:pPr>
        <w:pStyle w:val="Heading4"/>
        <w:numPr>
          <w:ilvl w:val="0"/>
          <w:numId w:val="0"/>
        </w:numPr>
        <w:ind w:left="864" w:hanging="864"/>
      </w:pPr>
      <w:bookmarkStart w:id="361" w:name="_Toc107412712"/>
      <w:r w:rsidRPr="00DA5DD7">
        <w:t>2. Ham manufacturer</w:t>
      </w:r>
      <w:bookmarkEnd w:id="361"/>
      <w:r w:rsidRPr="00DA5DD7">
        <w:t xml:space="preserve"> </w:t>
      </w:r>
    </w:p>
    <w:p w14:paraId="3FCB451A" w14:textId="77777777" w:rsidR="00CB7716" w:rsidRPr="00986631" w:rsidRDefault="00CB7716" w:rsidP="00DA5DD7">
      <w:pPr>
        <w:spacing w:after="240"/>
      </w:pPr>
      <w:r w:rsidRPr="00986631">
        <w:t>A food manufacturer processes bulk raw pork into ham products, including bulk cured ham sold at delicatessens and packaged sliced sandwich ham sold in</w:t>
      </w:r>
      <w:r>
        <w:t xml:space="preserve"> supermarkets. The proposed standard would</w:t>
      </w:r>
      <w:r w:rsidRPr="00986631">
        <w:t>n’t apply to the manufacturer because:</w:t>
      </w:r>
    </w:p>
    <w:p w14:paraId="7426D6F3" w14:textId="77777777" w:rsidR="00CB7716" w:rsidRPr="00986631" w:rsidRDefault="00CB7716" w:rsidP="00614AF5">
      <w:pPr>
        <w:pStyle w:val="ListParagraph"/>
        <w:numPr>
          <w:ilvl w:val="0"/>
          <w:numId w:val="91"/>
        </w:numPr>
        <w:spacing w:after="240"/>
      </w:pPr>
      <w:r w:rsidRPr="00986631">
        <w:t>the business does not serve the food or sell it direct to consumers, and</w:t>
      </w:r>
    </w:p>
    <w:p w14:paraId="111126AF" w14:textId="77777777" w:rsidR="00CB7716" w:rsidRPr="00986631" w:rsidRDefault="00CB7716" w:rsidP="00614AF5">
      <w:pPr>
        <w:pStyle w:val="ListParagraph"/>
        <w:numPr>
          <w:ilvl w:val="0"/>
          <w:numId w:val="91"/>
        </w:numPr>
        <w:spacing w:after="240"/>
      </w:pPr>
      <w:r>
        <w:t>the ham products are not in a form that a consumer would normally buy to eat right away. The bulk ham supplied to a deli will be unwrapped and sliced before retail sale. The supermarket packaged ham will need to be unsealed by the consumer to use in sandwiches, salads, etc.</w:t>
      </w:r>
    </w:p>
    <w:p w14:paraId="0FF2C889" w14:textId="62640FFD" w:rsidR="00DA5DD7" w:rsidRDefault="00CB7716" w:rsidP="00DA5DD7">
      <w:pPr>
        <w:spacing w:after="240"/>
      </w:pPr>
      <w:r w:rsidRPr="00986631">
        <w:t>This business will still need to meet the general food safety requirement</w:t>
      </w:r>
      <w:r>
        <w:t xml:space="preserve">s in Standards 3.2.2 and 3.2.3 </w:t>
      </w:r>
      <w:r w:rsidRPr="00986631">
        <w:t>and the meat primary production and processing Standard 4.2.3.</w:t>
      </w:r>
    </w:p>
    <w:p w14:paraId="53A30307" w14:textId="72DA97DA" w:rsidR="00CB7716" w:rsidRPr="0025246D" w:rsidRDefault="00CB7716" w:rsidP="0025246D">
      <w:pPr>
        <w:pStyle w:val="Heading2"/>
        <w:numPr>
          <w:ilvl w:val="0"/>
          <w:numId w:val="0"/>
        </w:numPr>
        <w:ind w:left="576" w:hanging="576"/>
      </w:pPr>
      <w:bookmarkStart w:id="362" w:name="_Toc104808620"/>
      <w:bookmarkStart w:id="363" w:name="_Toc107412713"/>
      <w:bookmarkStart w:id="364" w:name="_Toc109300464"/>
      <w:r w:rsidRPr="0025246D">
        <w:t>References</w:t>
      </w:r>
      <w:bookmarkEnd w:id="362"/>
      <w:bookmarkEnd w:id="363"/>
      <w:bookmarkEnd w:id="364"/>
      <w:r w:rsidRPr="0025246D">
        <w:t xml:space="preserve"> </w:t>
      </w:r>
    </w:p>
    <w:p w14:paraId="2FB7F777" w14:textId="77777777" w:rsidR="00CB7716" w:rsidRDefault="00CB7716" w:rsidP="00CB7716">
      <w:pPr>
        <w:rPr>
          <w:rFonts w:cs="Arial"/>
        </w:rPr>
      </w:pPr>
      <w:r w:rsidRPr="0027520B">
        <w:rPr>
          <w:rFonts w:cs="Arial"/>
        </w:rPr>
        <w:t xml:space="preserve">Abelson P, Forbes M P, Hall G (2006). The annual cost of foodborne illness in Australia. Report No.: 0642829063. Australian Government Department of Health and Ageing, Canberra. </w:t>
      </w:r>
    </w:p>
    <w:p w14:paraId="3F9D547E" w14:textId="77777777" w:rsidR="00CB7716" w:rsidRPr="0027520B" w:rsidRDefault="00CB7716" w:rsidP="00CB7716">
      <w:pPr>
        <w:rPr>
          <w:rFonts w:cs="Arial"/>
        </w:rPr>
      </w:pPr>
    </w:p>
    <w:p w14:paraId="11BF2B76" w14:textId="77777777" w:rsidR="00CB7716" w:rsidRDefault="00CB7716" w:rsidP="00CB7716">
      <w:pPr>
        <w:rPr>
          <w:rFonts w:cs="Arial"/>
        </w:rPr>
      </w:pPr>
      <w:proofErr w:type="spellStart"/>
      <w:r>
        <w:rPr>
          <w:rFonts w:cs="Arial"/>
        </w:rPr>
        <w:t>Aik</w:t>
      </w:r>
      <w:proofErr w:type="spellEnd"/>
      <w:r>
        <w:rPr>
          <w:rFonts w:cs="Arial"/>
        </w:rPr>
        <w:t xml:space="preserve"> J, Turner RM, </w:t>
      </w:r>
      <w:r w:rsidRPr="005435E9">
        <w:rPr>
          <w:rFonts w:cs="Arial"/>
        </w:rPr>
        <w:t>Kirk</w:t>
      </w:r>
      <w:r>
        <w:rPr>
          <w:rFonts w:cs="Arial"/>
        </w:rPr>
        <w:t xml:space="preserve"> MD, </w:t>
      </w:r>
      <w:r w:rsidRPr="005435E9">
        <w:rPr>
          <w:rFonts w:cs="Arial"/>
        </w:rPr>
        <w:t>Heywood</w:t>
      </w:r>
      <w:r>
        <w:rPr>
          <w:rFonts w:cs="Arial"/>
        </w:rPr>
        <w:t xml:space="preserve"> AE, </w:t>
      </w:r>
      <w:r w:rsidRPr="005435E9">
        <w:rPr>
          <w:rFonts w:cs="Arial"/>
        </w:rPr>
        <w:t>Newall</w:t>
      </w:r>
      <w:r>
        <w:rPr>
          <w:rFonts w:cs="Arial"/>
        </w:rPr>
        <w:t xml:space="preserve"> AT</w:t>
      </w:r>
      <w:r w:rsidRPr="0027520B">
        <w:rPr>
          <w:rFonts w:cs="Arial"/>
        </w:rPr>
        <w:t xml:space="preserve"> (2020)</w:t>
      </w:r>
      <w:r>
        <w:rPr>
          <w:rFonts w:cs="Arial"/>
        </w:rPr>
        <w:t>.</w:t>
      </w:r>
      <w:r w:rsidRPr="0027520B">
        <w:rPr>
          <w:rFonts w:cs="Arial"/>
        </w:rPr>
        <w:t xml:space="preserve"> Evaluating food safety management systems in Singapore: A controlled interrupted time-series analysis of foodborne disease outbreak reports. Food Control 117:107324</w:t>
      </w:r>
      <w:r>
        <w:rPr>
          <w:rFonts w:cs="Arial"/>
        </w:rPr>
        <w:t>.</w:t>
      </w:r>
    </w:p>
    <w:p w14:paraId="6DF2FE7E" w14:textId="77777777" w:rsidR="00CB7716" w:rsidRPr="0027520B" w:rsidRDefault="00CB7716" w:rsidP="00CB7716">
      <w:pPr>
        <w:rPr>
          <w:rFonts w:cs="Arial"/>
        </w:rPr>
      </w:pPr>
    </w:p>
    <w:p w14:paraId="1E1A238F" w14:textId="77777777" w:rsidR="00CB7716" w:rsidRPr="0027520B" w:rsidRDefault="00CB7716" w:rsidP="00CB7716">
      <w:pPr>
        <w:rPr>
          <w:rFonts w:cs="Arial"/>
        </w:rPr>
      </w:pPr>
      <w:proofErr w:type="spellStart"/>
      <w:r w:rsidRPr="68C0CA2D">
        <w:rPr>
          <w:rFonts w:cs="Arial"/>
        </w:rPr>
        <w:t>Ashbolt</w:t>
      </w:r>
      <w:proofErr w:type="spellEnd"/>
      <w:r w:rsidRPr="68C0CA2D">
        <w:rPr>
          <w:rFonts w:cs="Arial"/>
        </w:rPr>
        <w:t xml:space="preserve">, R, Bell R, Combs B, </w:t>
      </w:r>
      <w:proofErr w:type="spellStart"/>
      <w:r w:rsidRPr="68C0CA2D">
        <w:rPr>
          <w:rFonts w:cs="Arial"/>
        </w:rPr>
        <w:t>Crerar</w:t>
      </w:r>
      <w:proofErr w:type="spellEnd"/>
      <w:r w:rsidRPr="68C0CA2D">
        <w:rPr>
          <w:rFonts w:cs="Arial"/>
        </w:rPr>
        <w:t xml:space="preserve"> S, Dalton C, Dempsey K et al. (2003). Foodborne disease in Australia: incidence, notifications and outbreaks. Annual report of the </w:t>
      </w:r>
      <w:proofErr w:type="spellStart"/>
      <w:r w:rsidRPr="68C0CA2D">
        <w:rPr>
          <w:rFonts w:cs="Arial"/>
        </w:rPr>
        <w:t>OzFoodNet</w:t>
      </w:r>
      <w:proofErr w:type="spellEnd"/>
      <w:r w:rsidRPr="68C0CA2D">
        <w:rPr>
          <w:rFonts w:cs="Arial"/>
        </w:rPr>
        <w:t xml:space="preserve"> network, 2002. 27</w:t>
      </w:r>
      <w:r w:rsidRPr="68C0CA2D">
        <w:rPr>
          <w:rFonts w:cs="Arial"/>
          <w:vertAlign w:val="superscript"/>
        </w:rPr>
        <w:t>th</w:t>
      </w:r>
      <w:r w:rsidRPr="68C0CA2D">
        <w:rPr>
          <w:rFonts w:cs="Arial"/>
        </w:rPr>
        <w:t xml:space="preserve"> ed. Australian Department of Health, Canberra. </w:t>
      </w:r>
      <w:hyperlink r:id="rId52" w:history="1">
        <w:r w:rsidRPr="0027520B">
          <w:rPr>
            <w:rStyle w:val="Hyperlink"/>
            <w:rFonts w:cs="Arial"/>
          </w:rPr>
          <w:t>http://www.health.gov.au/internet/main/publishing.nsf/Content/cda-pubs-annlrpt-ozfnetar.htm</w:t>
        </w:r>
      </w:hyperlink>
    </w:p>
    <w:p w14:paraId="6BD2DB1F" w14:textId="77777777" w:rsidR="00CB7716" w:rsidRDefault="00CB7716" w:rsidP="00CB7716">
      <w:pPr>
        <w:rPr>
          <w:rFonts w:cs="Arial"/>
        </w:rPr>
      </w:pPr>
      <w:r>
        <w:rPr>
          <w:rFonts w:cs="Arial"/>
        </w:rPr>
        <w:t>a</w:t>
      </w:r>
      <w:r w:rsidRPr="0027520B">
        <w:rPr>
          <w:rFonts w:cs="Arial"/>
        </w:rPr>
        <w:t>ccessed 4</w:t>
      </w:r>
      <w:r>
        <w:rPr>
          <w:rFonts w:cs="Arial"/>
        </w:rPr>
        <w:t>/1/</w:t>
      </w:r>
      <w:r w:rsidRPr="0027520B">
        <w:rPr>
          <w:rFonts w:cs="Arial"/>
        </w:rPr>
        <w:t>2019</w:t>
      </w:r>
      <w:r>
        <w:rPr>
          <w:rFonts w:cs="Arial"/>
        </w:rPr>
        <w:t>.</w:t>
      </w:r>
    </w:p>
    <w:p w14:paraId="132D1A9E" w14:textId="77777777" w:rsidR="00CB7716" w:rsidRPr="0027520B" w:rsidRDefault="00CB7716" w:rsidP="00CB7716">
      <w:pPr>
        <w:rPr>
          <w:rFonts w:cs="Arial"/>
        </w:rPr>
      </w:pPr>
    </w:p>
    <w:p w14:paraId="4462D7AB" w14:textId="77777777" w:rsidR="00CB7716" w:rsidRDefault="00CB7716" w:rsidP="00CB7716">
      <w:pPr>
        <w:rPr>
          <w:rFonts w:cs="Arial"/>
          <w:lang w:val="en-AU"/>
        </w:rPr>
      </w:pPr>
      <w:r w:rsidRPr="0027520B">
        <w:rPr>
          <w:rFonts w:cs="Arial"/>
          <w:lang w:val="en-AU"/>
        </w:rPr>
        <w:t>Allen Consulting Group (2002). Food safety management systems: costs, benefits and alternatives: final report to the Commonwealth Department of Health and Ageing. Department of Health and Ageing, Canberra</w:t>
      </w:r>
      <w:r>
        <w:rPr>
          <w:rFonts w:cs="Arial"/>
          <w:lang w:val="en-AU"/>
        </w:rPr>
        <w:t>.</w:t>
      </w:r>
    </w:p>
    <w:p w14:paraId="1EF8A4C6" w14:textId="77777777" w:rsidR="00CB7716" w:rsidRPr="0027520B" w:rsidRDefault="00CB7716" w:rsidP="00CB7716">
      <w:pPr>
        <w:rPr>
          <w:rFonts w:cs="Arial"/>
          <w:lang w:val="en-AU"/>
        </w:rPr>
      </w:pPr>
    </w:p>
    <w:p w14:paraId="43D5F7C0" w14:textId="77777777" w:rsidR="00CB7716" w:rsidRDefault="00CB7716" w:rsidP="00CB7716">
      <w:r>
        <w:t xml:space="preserve">Bartsch SM, Asti L, Nyathi S, Spiker ML, Lee BY (2018). Estimated cost to a restaurant of a foodborne illness outbreak, </w:t>
      </w:r>
      <w:r w:rsidRPr="007A76FD">
        <w:rPr>
          <w:i/>
        </w:rPr>
        <w:t>Public Health Reports</w:t>
      </w:r>
      <w:r>
        <w:t>, 2018, 133(3): 274-286, Association of Schools and Programs of Public Health.</w:t>
      </w:r>
    </w:p>
    <w:p w14:paraId="028E66F5" w14:textId="77777777" w:rsidR="00CB7716" w:rsidRDefault="00CB7716" w:rsidP="00CB7716">
      <w:pPr>
        <w:rPr>
          <w:rFonts w:cs="Arial"/>
          <w:lang w:val="en-AU"/>
        </w:rPr>
      </w:pPr>
      <w:proofErr w:type="spellStart"/>
      <w:r w:rsidRPr="68C0CA2D">
        <w:rPr>
          <w:rFonts w:cs="Arial"/>
        </w:rPr>
        <w:t>DoHA</w:t>
      </w:r>
      <w:proofErr w:type="spellEnd"/>
      <w:r w:rsidRPr="68C0CA2D">
        <w:rPr>
          <w:rFonts w:cs="Arial"/>
        </w:rPr>
        <w:t xml:space="preserve"> (2007). Business Sector Food Safety Risk Profiling Framework</w:t>
      </w:r>
      <w:r w:rsidRPr="68C0CA2D">
        <w:rPr>
          <w:rStyle w:val="CommentReference"/>
        </w:rPr>
        <w:t>.</w:t>
      </w:r>
      <w:r w:rsidRPr="68C0CA2D">
        <w:rPr>
          <w:rFonts w:cs="Arial"/>
          <w:lang w:val="en-AU"/>
        </w:rPr>
        <w:t xml:space="preserve"> </w:t>
      </w:r>
      <w:r w:rsidRPr="68C0CA2D">
        <w:rPr>
          <w:rFonts w:cs="Arial"/>
        </w:rPr>
        <w:t>Australian Department of Health and Ageing</w:t>
      </w:r>
      <w:r w:rsidRPr="68C0CA2D">
        <w:rPr>
          <w:rFonts w:cs="Arial"/>
          <w:lang w:val="en-AU"/>
        </w:rPr>
        <w:t xml:space="preserve">, </w:t>
      </w:r>
      <w:r w:rsidRPr="68C0CA2D">
        <w:rPr>
          <w:rFonts w:cs="Arial"/>
          <w:lang w:val="en-US"/>
        </w:rPr>
        <w:t xml:space="preserve">Canberra. </w:t>
      </w:r>
      <w:hyperlink r:id="rId53" w:history="1">
        <w:r w:rsidRPr="00DD6EFF">
          <w:rPr>
            <w:rStyle w:val="Hyperlink"/>
            <w:rFonts w:cs="Arial"/>
            <w:lang w:val="en-AU"/>
          </w:rPr>
          <w:t>https://foodregulation.gov.au/internet/fr/publishing.nsf/Content/risk-profiling-framework</w:t>
        </w:r>
      </w:hyperlink>
    </w:p>
    <w:p w14:paraId="2C106F31" w14:textId="77777777" w:rsidR="00CB7716" w:rsidRDefault="00CB7716" w:rsidP="00CB7716">
      <w:r w:rsidRPr="0027520B">
        <w:rPr>
          <w:rFonts w:cs="Arial"/>
          <w:lang w:val="en-AU"/>
        </w:rPr>
        <w:lastRenderedPageBreak/>
        <w:t xml:space="preserve"> </w:t>
      </w:r>
      <w:r>
        <w:t>a</w:t>
      </w:r>
      <w:r w:rsidRPr="0027520B">
        <w:t>ccessed 20 December 2019</w:t>
      </w:r>
    </w:p>
    <w:p w14:paraId="0D866866" w14:textId="77777777" w:rsidR="00CB7716" w:rsidRPr="0027520B" w:rsidRDefault="00CB7716" w:rsidP="00CB7716">
      <w:pPr>
        <w:rPr>
          <w:rFonts w:cs="Arial"/>
          <w:lang w:val="en-AU"/>
        </w:rPr>
      </w:pPr>
    </w:p>
    <w:p w14:paraId="785FC101" w14:textId="77777777" w:rsidR="00CB7716" w:rsidRDefault="00CB7716" w:rsidP="00CB7716">
      <w:pPr>
        <w:pStyle w:val="FootnoteText"/>
        <w:rPr>
          <w:rFonts w:cs="Arial"/>
          <w:sz w:val="22"/>
          <w:szCs w:val="22"/>
        </w:rPr>
      </w:pPr>
      <w:r w:rsidRPr="0027520B">
        <w:rPr>
          <w:rFonts w:cs="Arial"/>
          <w:sz w:val="22"/>
          <w:szCs w:val="22"/>
          <w:lang w:val="en-AU"/>
        </w:rPr>
        <w:t>Food Science Australia and Minter Ellison Consulting (2002). National Risk Validation Project: Final Report. NSW Department of Health, Sydney and the Commonwealth Department of Health and</w:t>
      </w:r>
      <w:r w:rsidRPr="0027520B">
        <w:rPr>
          <w:rFonts w:cs="Arial"/>
          <w:sz w:val="22"/>
          <w:szCs w:val="22"/>
        </w:rPr>
        <w:t xml:space="preserve"> Ageing, Canberra</w:t>
      </w:r>
      <w:r>
        <w:rPr>
          <w:rFonts w:cs="Arial"/>
          <w:sz w:val="22"/>
          <w:szCs w:val="22"/>
        </w:rPr>
        <w:t>.</w:t>
      </w:r>
    </w:p>
    <w:p w14:paraId="0C7C4D29" w14:textId="77777777" w:rsidR="00CB7716" w:rsidRPr="0027520B" w:rsidRDefault="00CB7716" w:rsidP="00CB7716">
      <w:pPr>
        <w:pStyle w:val="FootnoteText"/>
        <w:rPr>
          <w:rFonts w:cs="Arial"/>
          <w:sz w:val="22"/>
          <w:szCs w:val="22"/>
        </w:rPr>
      </w:pPr>
    </w:p>
    <w:p w14:paraId="17A8D2DF" w14:textId="77777777" w:rsidR="00CB7716" w:rsidRDefault="00CB7716" w:rsidP="00CB7716">
      <w:pPr>
        <w:rPr>
          <w:rFonts w:cs="Arial"/>
          <w:lang w:val="en-AU"/>
        </w:rPr>
      </w:pPr>
      <w:r w:rsidRPr="0027520B">
        <w:rPr>
          <w:rFonts w:cs="Arial"/>
          <w:lang w:val="en-AU"/>
        </w:rPr>
        <w:t xml:space="preserve">Forum (2011). Policy Guideline on Food Safety Management for General Food Service and Closely Related Retail Sectors. </w:t>
      </w:r>
      <w:r w:rsidRPr="0027520B">
        <w:rPr>
          <w:rFonts w:cs="Arial"/>
        </w:rPr>
        <w:t>Legislative and Governance Forum on Food Regulation</w:t>
      </w:r>
      <w:r w:rsidRPr="0027520B">
        <w:rPr>
          <w:rFonts w:cs="Arial"/>
          <w:lang w:val="en-AU"/>
        </w:rPr>
        <w:t>, Canberra.</w:t>
      </w:r>
      <w:r>
        <w:rPr>
          <w:rFonts w:cs="Arial"/>
          <w:lang w:val="en-AU"/>
        </w:rPr>
        <w:t xml:space="preserve"> </w:t>
      </w:r>
      <w:hyperlink r:id="rId54" w:history="1">
        <w:r w:rsidRPr="00FC2D46">
          <w:rPr>
            <w:rStyle w:val="Hyperlink"/>
            <w:rFonts w:cs="Arial"/>
            <w:lang w:val="en-AU"/>
          </w:rPr>
          <w:t>https://foodregulation.gov.au/internet/fr/publishing.nsf/Content/publication-Food-Safety-Management-Policy-Guideline-for-the-retail-and-food-service-sectors accessed December 2019</w:t>
        </w:r>
      </w:hyperlink>
      <w:r w:rsidRPr="0027520B">
        <w:rPr>
          <w:rFonts w:cs="Arial"/>
          <w:lang w:val="en-AU"/>
        </w:rPr>
        <w:t>.</w:t>
      </w:r>
    </w:p>
    <w:p w14:paraId="42AE7899" w14:textId="77777777" w:rsidR="00CB7716" w:rsidRPr="0027520B" w:rsidRDefault="00CB7716" w:rsidP="00CB7716">
      <w:pPr>
        <w:rPr>
          <w:rFonts w:cs="Arial"/>
          <w:lang w:val="en-AU"/>
        </w:rPr>
      </w:pPr>
    </w:p>
    <w:p w14:paraId="3A555947" w14:textId="77777777" w:rsidR="00CB7716" w:rsidRPr="0027520B" w:rsidRDefault="00CB7716" w:rsidP="00CB7716">
      <w:pPr>
        <w:rPr>
          <w:rFonts w:cs="Arial"/>
        </w:rPr>
      </w:pPr>
      <w:r w:rsidRPr="0027520B">
        <w:rPr>
          <w:rFonts w:cs="Arial"/>
        </w:rPr>
        <w:t>FSANZ (2009). Safe food handling in Australian food businesses – knowledge and practices. An Interpretive Summary of the 2007 and 2001 National Food Handling Surveys. Food Standards Australia New Zealand, Canberra</w:t>
      </w:r>
      <w:r>
        <w:rPr>
          <w:rFonts w:cs="Arial"/>
        </w:rPr>
        <w:t>.</w:t>
      </w:r>
    </w:p>
    <w:p w14:paraId="774ECE82" w14:textId="77777777" w:rsidR="00CB7716" w:rsidRDefault="00266CCA" w:rsidP="00CB7716">
      <w:pPr>
        <w:rPr>
          <w:rFonts w:cs="Arial"/>
        </w:rPr>
      </w:pPr>
      <w:hyperlink r:id="rId55">
        <w:r w:rsidR="00CB7716" w:rsidRPr="68C0CA2D">
          <w:rPr>
            <w:rStyle w:val="Hyperlink"/>
            <w:rFonts w:cs="Arial"/>
          </w:rPr>
          <w:t>https://www.foodstandards.gov.au/publications/documents/2007%20NFHS%20Interpretive%20Summary%20FINAL.pdf</w:t>
        </w:r>
      </w:hyperlink>
      <w:r w:rsidR="00CB7716" w:rsidRPr="68C0CA2D">
        <w:rPr>
          <w:rFonts w:cs="Arial"/>
        </w:rPr>
        <w:t xml:space="preserve"> accessed January 2021.</w:t>
      </w:r>
    </w:p>
    <w:p w14:paraId="255549A3" w14:textId="77777777" w:rsidR="00CB7716" w:rsidRPr="0027520B" w:rsidRDefault="00CB7716" w:rsidP="00CB7716">
      <w:pPr>
        <w:rPr>
          <w:rFonts w:cs="Arial"/>
          <w:lang w:val="en-AU"/>
        </w:rPr>
      </w:pPr>
    </w:p>
    <w:p w14:paraId="53F6C828" w14:textId="77777777" w:rsidR="00CB7716" w:rsidRPr="0027520B" w:rsidRDefault="00CB7716" w:rsidP="00CB7716">
      <w:pPr>
        <w:rPr>
          <w:rFonts w:cs="Arial"/>
        </w:rPr>
      </w:pPr>
      <w:r w:rsidRPr="0027520B">
        <w:rPr>
          <w:rFonts w:cs="Arial"/>
        </w:rPr>
        <w:t xml:space="preserve">FSANZ (2016). </w:t>
      </w:r>
      <w:r w:rsidRPr="0027520B">
        <w:rPr>
          <w:rFonts w:cs="Arial"/>
          <w:i/>
        </w:rPr>
        <w:t>Safe Food Australia</w:t>
      </w:r>
      <w:r w:rsidRPr="0027520B">
        <w:rPr>
          <w:rFonts w:cs="Arial"/>
        </w:rPr>
        <w:t xml:space="preserve"> </w:t>
      </w:r>
      <w:r w:rsidRPr="00052BFA">
        <w:rPr>
          <w:rFonts w:cs="Arial"/>
        </w:rPr>
        <w:t>- A Guide to the Food Safety Standards</w:t>
      </w:r>
      <w:r w:rsidRPr="0027520B">
        <w:rPr>
          <w:rFonts w:cs="Arial"/>
        </w:rPr>
        <w:t>. Food Standards Australia New Zealand, Canberra.</w:t>
      </w:r>
    </w:p>
    <w:p w14:paraId="3D698D7C" w14:textId="77777777" w:rsidR="00CB7716" w:rsidRDefault="00CB7716" w:rsidP="00CB7716">
      <w:r w:rsidRPr="68C0CA2D">
        <w:rPr>
          <w:rStyle w:val="Hyperlink"/>
          <w:rFonts w:cs="Arial"/>
        </w:rPr>
        <w:t xml:space="preserve"> </w:t>
      </w:r>
      <w:hyperlink r:id="rId56">
        <w:r w:rsidRPr="68C0CA2D">
          <w:rPr>
            <w:rStyle w:val="Hyperlink"/>
            <w:rFonts w:cs="Arial"/>
          </w:rPr>
          <w:t>http://www.foodstandards.gov.au/foodsafety/standards/Pages/Safe-Food-Australia-%E2%80%93-A-guide-to-the-Food-Safety-Standards.aspx</w:t>
        </w:r>
      </w:hyperlink>
      <w:r w:rsidRPr="68C0CA2D">
        <w:rPr>
          <w:rStyle w:val="Hyperlink"/>
          <w:rFonts w:cs="Arial"/>
        </w:rPr>
        <w:t xml:space="preserve"> </w:t>
      </w:r>
      <w:r>
        <w:t>accessed 10/1/2020.</w:t>
      </w:r>
    </w:p>
    <w:p w14:paraId="1565978E" w14:textId="77777777" w:rsidR="00CB7716" w:rsidRDefault="00CB7716" w:rsidP="00CB7716"/>
    <w:p w14:paraId="7573DD54" w14:textId="153D2860" w:rsidR="00CB7716" w:rsidRPr="00DA7FDA" w:rsidRDefault="00CB7716" w:rsidP="00CB7716">
      <w:pPr>
        <w:rPr>
          <w:rFonts w:cs="Arial"/>
        </w:rPr>
      </w:pPr>
      <w:r w:rsidRPr="00DA7FDA">
        <w:rPr>
          <w:rFonts w:cs="Arial"/>
        </w:rPr>
        <w:t>FSANZ (2022) Risk profile for Australian food service and related food retail businesses</w:t>
      </w:r>
      <w:r>
        <w:rPr>
          <w:rFonts w:cs="Arial"/>
        </w:rPr>
        <w:t>.</w:t>
      </w:r>
      <w:r w:rsidRPr="00DA7FDA">
        <w:rPr>
          <w:rFonts w:cs="Arial"/>
        </w:rPr>
        <w:t xml:space="preserve"> </w:t>
      </w:r>
      <w:r w:rsidRPr="0027520B">
        <w:rPr>
          <w:rFonts w:cs="Arial"/>
        </w:rPr>
        <w:t>Food Standards Australia New Zealand, Canberra.</w:t>
      </w:r>
      <w:r w:rsidR="0081747A">
        <w:rPr>
          <w:rFonts w:cs="Arial"/>
        </w:rPr>
        <w:t xml:space="preserve"> </w:t>
      </w:r>
      <w:hyperlink r:id="rId57" w:history="1">
        <w:r w:rsidRPr="00DA7FDA">
          <w:rPr>
            <w:rStyle w:val="Hyperlink"/>
            <w:rFonts w:cs="Arial"/>
          </w:rPr>
          <w:t>https://www.foodstandards.gov.au/code/proposals/Documents/CFS%20SD2_Micro%20risk%20profile.pdf</w:t>
        </w:r>
      </w:hyperlink>
      <w:r>
        <w:rPr>
          <w:rFonts w:cs="Arial"/>
        </w:rPr>
        <w:t xml:space="preserve"> </w:t>
      </w:r>
      <w:r>
        <w:t>accessed 03/05/2022</w:t>
      </w:r>
    </w:p>
    <w:p w14:paraId="78FEC8F0" w14:textId="77777777" w:rsidR="00CB7716" w:rsidRDefault="00CB7716" w:rsidP="00CB7716"/>
    <w:p w14:paraId="616F8EE7" w14:textId="77777777" w:rsidR="00CB7716" w:rsidRDefault="00CB7716" w:rsidP="00CB7716">
      <w:pPr>
        <w:rPr>
          <w:i/>
          <w:iCs/>
          <w:lang w:val="en-AU"/>
        </w:rPr>
      </w:pPr>
      <w:r w:rsidRPr="00052BFA">
        <w:rPr>
          <w:lang w:val="en-AU"/>
        </w:rPr>
        <w:t xml:space="preserve">Glass K, </w:t>
      </w:r>
      <w:proofErr w:type="spellStart"/>
      <w:r w:rsidRPr="00052BFA">
        <w:rPr>
          <w:lang w:val="en-AU"/>
        </w:rPr>
        <w:t>McLure</w:t>
      </w:r>
      <w:proofErr w:type="spellEnd"/>
      <w:r w:rsidRPr="00052BFA">
        <w:rPr>
          <w:lang w:val="en-AU"/>
        </w:rPr>
        <w:t xml:space="preserve"> A, Bourke S, Cribb D, Kirk MA, </w:t>
      </w:r>
      <w:proofErr w:type="spellStart"/>
      <w:r w:rsidRPr="00052BFA">
        <w:rPr>
          <w:lang w:val="en-AU"/>
        </w:rPr>
        <w:t>Lancsar</w:t>
      </w:r>
      <w:proofErr w:type="spellEnd"/>
      <w:r w:rsidRPr="00052BFA">
        <w:rPr>
          <w:lang w:val="en-AU"/>
        </w:rPr>
        <w:t xml:space="preserve"> E (2022) The annual cost of foodborne illness in Australia. </w:t>
      </w:r>
      <w:r w:rsidRPr="00052BFA">
        <w:rPr>
          <w:i/>
          <w:iCs/>
          <w:lang w:val="en-AU"/>
        </w:rPr>
        <w:t>Final report to Food Standards Australia New Zealand.</w:t>
      </w:r>
    </w:p>
    <w:p w14:paraId="0FCA2D88" w14:textId="77777777" w:rsidR="00CB7716" w:rsidRPr="00052BFA" w:rsidRDefault="00CB7716" w:rsidP="00CB7716">
      <w:pPr>
        <w:rPr>
          <w:rStyle w:val="Hyperlink"/>
          <w:rFonts w:cs="Arial"/>
        </w:rPr>
      </w:pPr>
    </w:p>
    <w:p w14:paraId="5A416650" w14:textId="77777777" w:rsidR="00CB7716" w:rsidRDefault="00CB7716" w:rsidP="00CB7716">
      <w:pPr>
        <w:rPr>
          <w:rFonts w:cs="Arial"/>
        </w:rPr>
      </w:pPr>
      <w:r w:rsidRPr="68C0CA2D">
        <w:rPr>
          <w:rFonts w:cs="Arial"/>
        </w:rPr>
        <w:t xml:space="preserve">Hedberg, Smith SJ, Kirkland E, Radke V, Jones TF, Selman CA, EHS-Net Working Group (2006). Systematic environmental evaluations to identify food safety differences between outbreak and non-outbreak restaurants. Journal of Food Protection 69(11): 2697-702. </w:t>
      </w:r>
      <w:proofErr w:type="spellStart"/>
      <w:r w:rsidRPr="68C0CA2D">
        <w:rPr>
          <w:rFonts w:cs="Arial"/>
        </w:rPr>
        <w:t>doi</w:t>
      </w:r>
      <w:proofErr w:type="spellEnd"/>
      <w:r w:rsidRPr="68C0CA2D">
        <w:rPr>
          <w:rFonts w:cs="Arial"/>
        </w:rPr>
        <w:t>: 10.4315/0362-028x-69.11.2697.</w:t>
      </w:r>
    </w:p>
    <w:p w14:paraId="19FEF5D7" w14:textId="77777777" w:rsidR="00CB7716" w:rsidRPr="0027520B" w:rsidRDefault="00CB7716" w:rsidP="00CB7716">
      <w:pPr>
        <w:rPr>
          <w:rFonts w:cs="Arial"/>
        </w:rPr>
      </w:pPr>
    </w:p>
    <w:p w14:paraId="6529E65C" w14:textId="77777777" w:rsidR="00CB7716" w:rsidRDefault="00CB7716" w:rsidP="00CB7716">
      <w:r>
        <w:t xml:space="preserve">Hogan, Lindsay (2018). </w:t>
      </w:r>
      <w:r w:rsidRPr="00871847">
        <w:rPr>
          <w:i/>
        </w:rPr>
        <w:t>Food demand in Australia: Trends and issues 2018</w:t>
      </w:r>
      <w:r>
        <w:t>, ABARES Research Report 18.10, Canberra, August 2018</w:t>
      </w:r>
      <w:r>
        <w:rPr>
          <w:rFonts w:cs="Arial"/>
        </w:rPr>
        <w:t>.</w:t>
      </w:r>
      <w:r>
        <w:t xml:space="preserve"> </w:t>
      </w:r>
      <w:hyperlink r:id="rId58" w:history="1">
        <w:r w:rsidRPr="0027520B">
          <w:rPr>
            <w:rStyle w:val="Hyperlink"/>
            <w:rFonts w:cs="Arial"/>
          </w:rPr>
          <w:t>http://agriculture.gov.au/abares/publications/display?url=http://143.188.17.20/anrdl/DAFFService/display.php?fid=pb_fdati9aat20180822.xml</w:t>
        </w:r>
      </w:hyperlink>
      <w:r>
        <w:t xml:space="preserve">, </w:t>
      </w:r>
      <w:r>
        <w:rPr>
          <w:rFonts w:cs="Arial"/>
        </w:rPr>
        <w:t>accessed</w:t>
      </w:r>
      <w:r>
        <w:t xml:space="preserve"> 26/8/2019.</w:t>
      </w:r>
    </w:p>
    <w:p w14:paraId="13774C8A" w14:textId="77777777" w:rsidR="00CB7716" w:rsidRDefault="00CB7716" w:rsidP="00CB7716"/>
    <w:p w14:paraId="62BFF9EF" w14:textId="77777777" w:rsidR="00CB7716" w:rsidRDefault="00CB7716" w:rsidP="00CB7716">
      <w:pPr>
        <w:rPr>
          <w:rFonts w:cs="Arial"/>
        </w:rPr>
      </w:pPr>
      <w:proofErr w:type="spellStart"/>
      <w:r w:rsidRPr="0027520B">
        <w:rPr>
          <w:rFonts w:cs="Arial"/>
        </w:rPr>
        <w:t>Kassa</w:t>
      </w:r>
      <w:proofErr w:type="spellEnd"/>
      <w:r w:rsidRPr="0027520B">
        <w:rPr>
          <w:rFonts w:cs="Arial"/>
        </w:rPr>
        <w:t xml:space="preserve"> H, Silverman G S and Baroudi K (2010)</w:t>
      </w:r>
      <w:r>
        <w:rPr>
          <w:rFonts w:cs="Arial"/>
        </w:rPr>
        <w:t>.</w:t>
      </w:r>
      <w:r w:rsidRPr="0027520B">
        <w:rPr>
          <w:rFonts w:cs="Arial"/>
        </w:rPr>
        <w:t xml:space="preserve"> Effect of a manager training and certification program on food safety and hygiene in food service operations. Environmental Health Insights 2010(4): 1320.</w:t>
      </w:r>
    </w:p>
    <w:p w14:paraId="79E441AD" w14:textId="77777777" w:rsidR="00CB7716" w:rsidRPr="0027520B" w:rsidRDefault="00CB7716" w:rsidP="00CB7716">
      <w:pPr>
        <w:rPr>
          <w:rFonts w:cs="Arial"/>
        </w:rPr>
      </w:pPr>
    </w:p>
    <w:p w14:paraId="44B893B7" w14:textId="77777777" w:rsidR="00CB7716" w:rsidRDefault="00CB7716" w:rsidP="00CB7716">
      <w:pPr>
        <w:rPr>
          <w:rFonts w:cs="Arial"/>
        </w:rPr>
      </w:pPr>
      <w:bookmarkStart w:id="365" w:name="_CTVL001d92c7297027f45439870116ff5c9b1e5"/>
      <w:r>
        <w:t xml:space="preserve">Kirk M, Glass K, Ford L, Brown K, Hall G (2014). Foodborne illness in Australia: Annual incidence circa 2010. National Centre for Epidemiology and Population Health, Australian National University. Canberra, Australia. </w:t>
      </w:r>
      <w:hyperlink r:id="rId59">
        <w:r w:rsidRPr="68C0CA2D">
          <w:rPr>
            <w:rStyle w:val="Hyperlink"/>
            <w:rFonts w:cs="Arial"/>
          </w:rPr>
          <w:t>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w:t>
        </w:r>
      </w:hyperlink>
      <w:r w:rsidRPr="68C0CA2D">
        <w:rPr>
          <w:rFonts w:cs="Arial"/>
        </w:rPr>
        <w:t xml:space="preserve"> accessed 4/1/2019.</w:t>
      </w:r>
      <w:bookmarkEnd w:id="365"/>
    </w:p>
    <w:p w14:paraId="7807B5B5" w14:textId="77777777" w:rsidR="00CB7716" w:rsidRDefault="00CB7716" w:rsidP="00CB7716"/>
    <w:p w14:paraId="5AD2E5FA" w14:textId="77777777" w:rsidR="00CB7716" w:rsidRDefault="00CB7716" w:rsidP="00CB7716">
      <w:pPr>
        <w:pStyle w:val="FootnoteText"/>
        <w:rPr>
          <w:rFonts w:cs="Arial"/>
          <w:sz w:val="22"/>
          <w:szCs w:val="22"/>
        </w:rPr>
      </w:pPr>
      <w:r w:rsidRPr="68C0CA2D">
        <w:rPr>
          <w:rFonts w:cs="Arial"/>
          <w:sz w:val="22"/>
          <w:szCs w:val="22"/>
        </w:rPr>
        <w:t xml:space="preserve">McFarland P, </w:t>
      </w:r>
      <w:proofErr w:type="spellStart"/>
      <w:r w:rsidRPr="68C0CA2D">
        <w:rPr>
          <w:rFonts w:cs="Arial"/>
          <w:sz w:val="22"/>
          <w:szCs w:val="22"/>
        </w:rPr>
        <w:t>Checinska</w:t>
      </w:r>
      <w:proofErr w:type="spellEnd"/>
      <w:r w:rsidRPr="68C0CA2D">
        <w:rPr>
          <w:rFonts w:cs="Arial"/>
          <w:sz w:val="22"/>
          <w:szCs w:val="22"/>
        </w:rPr>
        <w:t xml:space="preserve"> </w:t>
      </w:r>
      <w:proofErr w:type="spellStart"/>
      <w:r w:rsidRPr="68C0CA2D">
        <w:rPr>
          <w:rFonts w:cs="Arial"/>
          <w:sz w:val="22"/>
          <w:szCs w:val="22"/>
        </w:rPr>
        <w:t>Sielaf</w:t>
      </w:r>
      <w:proofErr w:type="spellEnd"/>
      <w:r w:rsidRPr="68C0CA2D">
        <w:rPr>
          <w:rFonts w:cs="Arial"/>
          <w:sz w:val="22"/>
          <w:szCs w:val="22"/>
        </w:rPr>
        <w:t xml:space="preserve"> A, </w:t>
      </w:r>
      <w:proofErr w:type="spellStart"/>
      <w:r w:rsidRPr="68C0CA2D">
        <w:rPr>
          <w:rFonts w:cs="Arial"/>
          <w:sz w:val="22"/>
          <w:szCs w:val="22"/>
        </w:rPr>
        <w:t>Rasco</w:t>
      </w:r>
      <w:proofErr w:type="spellEnd"/>
      <w:r w:rsidRPr="68C0CA2D">
        <w:rPr>
          <w:rFonts w:cs="Arial"/>
          <w:sz w:val="22"/>
          <w:szCs w:val="22"/>
        </w:rPr>
        <w:t xml:space="preserve"> B and Smith S, (2019). Efficacy of Food Safety </w:t>
      </w:r>
      <w:r w:rsidRPr="68C0CA2D">
        <w:rPr>
          <w:rFonts w:cs="Arial"/>
          <w:sz w:val="22"/>
          <w:szCs w:val="22"/>
        </w:rPr>
        <w:lastRenderedPageBreak/>
        <w:t>Training in Commercial Food Service. Journal of Food Science, 84(6):1239-1246.</w:t>
      </w:r>
    </w:p>
    <w:p w14:paraId="67CD8029" w14:textId="77777777" w:rsidR="00CB7716" w:rsidRPr="0027520B" w:rsidRDefault="00CB7716" w:rsidP="00CB7716">
      <w:pPr>
        <w:pStyle w:val="FootnoteText"/>
        <w:rPr>
          <w:rFonts w:cs="Arial"/>
          <w:sz w:val="22"/>
          <w:szCs w:val="22"/>
          <w:lang w:val="en-AU"/>
        </w:rPr>
      </w:pPr>
    </w:p>
    <w:p w14:paraId="51BA84A7" w14:textId="77777777" w:rsidR="00CB7716" w:rsidRDefault="00CB7716" w:rsidP="00CB7716">
      <w:pPr>
        <w:pStyle w:val="FootnoteText"/>
        <w:rPr>
          <w:rFonts w:cs="Arial"/>
          <w:sz w:val="22"/>
          <w:szCs w:val="22"/>
        </w:rPr>
      </w:pPr>
      <w:r w:rsidRPr="0027520B">
        <w:rPr>
          <w:rFonts w:cs="Arial"/>
          <w:sz w:val="22"/>
          <w:szCs w:val="22"/>
        </w:rPr>
        <w:t xml:space="preserve">Medeiros C, Cavalli S, </w:t>
      </w:r>
      <w:proofErr w:type="spellStart"/>
      <w:r w:rsidRPr="0027520B">
        <w:rPr>
          <w:rFonts w:cs="Arial"/>
          <w:sz w:val="22"/>
          <w:szCs w:val="22"/>
        </w:rPr>
        <w:t>Sala</w:t>
      </w:r>
      <w:r>
        <w:rPr>
          <w:rFonts w:cs="Arial"/>
          <w:sz w:val="22"/>
          <w:szCs w:val="22"/>
        </w:rPr>
        <w:t>y</w:t>
      </w:r>
      <w:proofErr w:type="spellEnd"/>
      <w:r w:rsidRPr="0027520B">
        <w:rPr>
          <w:rFonts w:cs="Arial"/>
          <w:sz w:val="22"/>
          <w:szCs w:val="22"/>
        </w:rPr>
        <w:t xml:space="preserve"> E and </w:t>
      </w:r>
      <w:proofErr w:type="spellStart"/>
      <w:r w:rsidRPr="0027520B">
        <w:rPr>
          <w:rFonts w:cs="Arial"/>
          <w:sz w:val="22"/>
          <w:szCs w:val="22"/>
        </w:rPr>
        <w:t>Proença</w:t>
      </w:r>
      <w:proofErr w:type="spellEnd"/>
      <w:r w:rsidRPr="0027520B">
        <w:rPr>
          <w:rFonts w:cs="Arial"/>
          <w:sz w:val="22"/>
          <w:szCs w:val="22"/>
        </w:rPr>
        <w:t xml:space="preserve"> R (2011). Assessment of the methodological strategies adopted by food safety training programmes for food service workers: A systematic review. Food Control, 22(8)</w:t>
      </w:r>
      <w:r>
        <w:rPr>
          <w:rFonts w:cs="Arial"/>
          <w:sz w:val="22"/>
          <w:szCs w:val="22"/>
        </w:rPr>
        <w:t xml:space="preserve">: </w:t>
      </w:r>
      <w:r w:rsidRPr="0027520B">
        <w:rPr>
          <w:rFonts w:cs="Arial"/>
          <w:sz w:val="22"/>
          <w:szCs w:val="22"/>
        </w:rPr>
        <w:t>1136-1144.</w:t>
      </w:r>
    </w:p>
    <w:p w14:paraId="7B7FD9C0" w14:textId="77777777" w:rsidR="00CB7716" w:rsidRPr="0027520B" w:rsidRDefault="00CB7716" w:rsidP="00CB7716">
      <w:pPr>
        <w:pStyle w:val="FootnoteText"/>
        <w:rPr>
          <w:rFonts w:cs="Arial"/>
          <w:sz w:val="22"/>
          <w:szCs w:val="22"/>
        </w:rPr>
      </w:pPr>
    </w:p>
    <w:p w14:paraId="72D187D8" w14:textId="77777777" w:rsidR="00CB7716" w:rsidRDefault="00CB7716" w:rsidP="00CB7716">
      <w:r>
        <w:t xml:space="preserve">NSW Food Authority (2015). Food Safety Supervisor Scheme Evaluation, Results summary report. New South Wales (NSW), Government Food Authority, February, 2015. </w:t>
      </w:r>
      <w:hyperlink r:id="rId60" w:history="1">
        <w:r w:rsidRPr="00FC2D46">
          <w:rPr>
            <w:rStyle w:val="Hyperlink"/>
            <w:rFonts w:cstheme="minorBidi"/>
            <w:lang w:val="en-AU"/>
          </w:rPr>
          <w:t>https://www.foodauthority.nsw.gov.au/media/6876</w:t>
        </w:r>
        <w:r w:rsidRPr="00FC2D46">
          <w:rPr>
            <w:rStyle w:val="Hyperlink"/>
            <w:rFonts w:cstheme="minorBidi"/>
          </w:rPr>
          <w:t xml:space="preserve"> accessed 23/08/2019</w:t>
        </w:r>
      </w:hyperlink>
      <w:r>
        <w:t>.</w:t>
      </w:r>
    </w:p>
    <w:p w14:paraId="6B55554A" w14:textId="77777777" w:rsidR="00CB7716" w:rsidRDefault="00CB7716" w:rsidP="00CB7716"/>
    <w:p w14:paraId="43B5E068" w14:textId="77777777" w:rsidR="00CB7716" w:rsidRDefault="00CB7716" w:rsidP="00CB7716">
      <w:pPr>
        <w:rPr>
          <w:rFonts w:cs="Arial"/>
        </w:rPr>
      </w:pPr>
      <w:proofErr w:type="spellStart"/>
      <w:r>
        <w:t>OzFoodNet</w:t>
      </w:r>
      <w:proofErr w:type="spellEnd"/>
      <w:r>
        <w:t xml:space="preserve"> (2010). Monitoring the incidence and causes of diseases potentially transmitted by food in Australia: Annual Report of the </w:t>
      </w:r>
      <w:proofErr w:type="spellStart"/>
      <w:r>
        <w:t>OzFoodnet</w:t>
      </w:r>
      <w:proofErr w:type="spellEnd"/>
      <w:r>
        <w:t xml:space="preserve"> Network, 2009. Australian Department of Health: </w:t>
      </w:r>
      <w:proofErr w:type="spellStart"/>
      <w:r>
        <w:t>OzFoodNet</w:t>
      </w:r>
      <w:proofErr w:type="spellEnd"/>
      <w:r>
        <w:t xml:space="preserve"> working group. Canberra, Australia, December 2010. </w:t>
      </w:r>
      <w:hyperlink r:id="rId61">
        <w:r w:rsidRPr="68C0CA2D">
          <w:rPr>
            <w:rStyle w:val="Hyperlink"/>
            <w:rFonts w:cs="Arial"/>
          </w:rPr>
          <w:t>http://www.health.gov.au/internet/main/publishing.nsf/Content/cda-pubs-annlrpt-ozfnetar.htm</w:t>
        </w:r>
      </w:hyperlink>
    </w:p>
    <w:p w14:paraId="336EDE9B" w14:textId="77777777" w:rsidR="00CB7716" w:rsidRDefault="00CB7716" w:rsidP="00CB7716">
      <w:r>
        <w:t>accessed</w:t>
      </w:r>
      <w:r w:rsidRPr="0027520B">
        <w:t xml:space="preserve"> </w:t>
      </w:r>
      <w:r w:rsidRPr="0027520B">
        <w:rPr>
          <w:rFonts w:cs="Arial"/>
        </w:rPr>
        <w:t>26</w:t>
      </w:r>
      <w:r w:rsidRPr="0027520B">
        <w:t>/8/2019.</w:t>
      </w:r>
    </w:p>
    <w:p w14:paraId="3F5EBE92" w14:textId="77777777" w:rsidR="00CB7716" w:rsidRPr="0027520B" w:rsidRDefault="00CB7716" w:rsidP="00CB7716"/>
    <w:p w14:paraId="30C1ADD9" w14:textId="77777777" w:rsidR="00CB7716" w:rsidRDefault="00CB7716" w:rsidP="00CB7716">
      <w:pPr>
        <w:rPr>
          <w:rFonts w:cs="Arial"/>
        </w:rPr>
      </w:pPr>
      <w:proofErr w:type="spellStart"/>
      <w:r>
        <w:t>OzFoodNet</w:t>
      </w:r>
      <w:proofErr w:type="spellEnd"/>
      <w:r>
        <w:t xml:space="preserve"> (2012). Monitoring the incidence and causes of diseases potentially transmitted by food in Australia: Annual Report of the </w:t>
      </w:r>
      <w:proofErr w:type="spellStart"/>
      <w:r>
        <w:t>OzFoodNet</w:t>
      </w:r>
      <w:proofErr w:type="spellEnd"/>
      <w:r>
        <w:t xml:space="preserve"> Network, 2010. Australian Department of Health: </w:t>
      </w:r>
      <w:proofErr w:type="spellStart"/>
      <w:r>
        <w:t>OzFoodNet</w:t>
      </w:r>
      <w:proofErr w:type="spellEnd"/>
      <w:r>
        <w:t xml:space="preserve"> working group. Canberra, Australia, November 2012. </w:t>
      </w:r>
      <w:hyperlink r:id="rId62">
        <w:r w:rsidRPr="68C0CA2D">
          <w:rPr>
            <w:rStyle w:val="Hyperlink"/>
            <w:rFonts w:cs="Arial"/>
          </w:rPr>
          <w:t>http://www.health.gov.au/internet/main/publishing.nsf/Content/cda-pubs-annlrpt-ozfnetar.htm</w:t>
        </w:r>
      </w:hyperlink>
      <w:r w:rsidRPr="68C0CA2D">
        <w:rPr>
          <w:rFonts w:cs="Arial"/>
        </w:rPr>
        <w:t xml:space="preserve"> accessed 26/8/2019.</w:t>
      </w:r>
    </w:p>
    <w:p w14:paraId="11372A43" w14:textId="77777777" w:rsidR="00CB7716" w:rsidRDefault="00CB7716" w:rsidP="00CB7716"/>
    <w:p w14:paraId="0C5D0A4F" w14:textId="77777777" w:rsidR="00CB7716" w:rsidRDefault="00CB7716" w:rsidP="00CB7716">
      <w:pPr>
        <w:rPr>
          <w:rFonts w:cs="Arial"/>
        </w:rPr>
      </w:pPr>
      <w:proofErr w:type="spellStart"/>
      <w:r>
        <w:t>OzFoodNet</w:t>
      </w:r>
      <w:proofErr w:type="spellEnd"/>
      <w:r>
        <w:t xml:space="preserve"> (2015). Monitoring the incidence and causes of diseases potentially transmitted by food in Australia: Annual Report of the </w:t>
      </w:r>
      <w:proofErr w:type="spellStart"/>
      <w:r>
        <w:t>OzFoodnet</w:t>
      </w:r>
      <w:proofErr w:type="spellEnd"/>
      <w:r>
        <w:t xml:space="preserve"> Network, 2011. Australian Department of Health: </w:t>
      </w:r>
      <w:proofErr w:type="spellStart"/>
      <w:r>
        <w:t>OzFoodNet</w:t>
      </w:r>
      <w:proofErr w:type="spellEnd"/>
      <w:r>
        <w:t xml:space="preserve"> working group. Canberra, Australia, July 2015. </w:t>
      </w:r>
      <w:hyperlink r:id="rId63">
        <w:r w:rsidRPr="68C0CA2D">
          <w:rPr>
            <w:rStyle w:val="Hyperlink"/>
            <w:rFonts w:cs="Arial"/>
          </w:rPr>
          <w:t>http://www.health.gov.au/internet/main/publishing.nsf/Content/cda-pubs-annlrpt-ozfnetar.htm</w:t>
        </w:r>
      </w:hyperlink>
      <w:r w:rsidRPr="68C0CA2D">
        <w:rPr>
          <w:rFonts w:cs="Arial"/>
        </w:rPr>
        <w:t xml:space="preserve"> accessed 26/8/2019.</w:t>
      </w:r>
    </w:p>
    <w:p w14:paraId="6861347D" w14:textId="77777777" w:rsidR="00CB7716" w:rsidRDefault="00CB7716" w:rsidP="00CB7716"/>
    <w:p w14:paraId="74279DA9" w14:textId="77777777" w:rsidR="00CB7716" w:rsidRDefault="00CB7716" w:rsidP="00CB7716">
      <w:pPr>
        <w:rPr>
          <w:rFonts w:cs="Arial"/>
        </w:rPr>
      </w:pPr>
      <w:proofErr w:type="spellStart"/>
      <w:r>
        <w:t>OzFoodNet</w:t>
      </w:r>
      <w:proofErr w:type="spellEnd"/>
      <w:r>
        <w:t xml:space="preserve"> (2018). Monitoring the incidence and causes of diseases potentially transmitted by food in Australia: Annual Report of the </w:t>
      </w:r>
      <w:proofErr w:type="spellStart"/>
      <w:r>
        <w:t>OzFoodNet</w:t>
      </w:r>
      <w:proofErr w:type="spellEnd"/>
      <w:r>
        <w:t xml:space="preserve"> network, 2012. Australian Department of Health: </w:t>
      </w:r>
      <w:proofErr w:type="spellStart"/>
      <w:r>
        <w:t>OzFoodNet</w:t>
      </w:r>
      <w:proofErr w:type="spellEnd"/>
      <w:r>
        <w:t xml:space="preserve"> working group. Canberra, Australia, November 2018. </w:t>
      </w:r>
      <w:r w:rsidRPr="68C0CA2D">
        <w:rPr>
          <w:rFonts w:cs="Arial"/>
        </w:rPr>
        <w:t xml:space="preserve">Available online at </w:t>
      </w:r>
      <w:hyperlink r:id="rId64">
        <w:r w:rsidRPr="68C0CA2D">
          <w:rPr>
            <w:rStyle w:val="Hyperlink"/>
            <w:rFonts w:cs="Arial"/>
          </w:rPr>
          <w:t>http://www.health.gov.au/internet/main/publishing.nsf/Content/cda-pubs-annlrpt-ozfnetar.htm</w:t>
        </w:r>
      </w:hyperlink>
      <w:r w:rsidRPr="68C0CA2D">
        <w:rPr>
          <w:rFonts w:cs="Arial"/>
        </w:rPr>
        <w:t>, accessed 26/8/2019.</w:t>
      </w:r>
    </w:p>
    <w:p w14:paraId="2ED85F12" w14:textId="77777777" w:rsidR="00CB7716" w:rsidRDefault="00CB7716" w:rsidP="00CB7716"/>
    <w:p w14:paraId="3DC406FD" w14:textId="77777777" w:rsidR="00CB7716" w:rsidRPr="0027520B" w:rsidRDefault="00CB7716" w:rsidP="00CB7716">
      <w:pPr>
        <w:rPr>
          <w:rFonts w:cs="Arial"/>
        </w:rPr>
      </w:pPr>
      <w:r w:rsidRPr="68C0CA2D">
        <w:rPr>
          <w:rFonts w:cs="Arial"/>
        </w:rPr>
        <w:t>Ross T,</w:t>
      </w:r>
      <w:r w:rsidRPr="68C0CA2D">
        <w:rPr>
          <w:rFonts w:cs="Arial"/>
          <w:b/>
          <w:bCs/>
        </w:rPr>
        <w:t xml:space="preserve"> </w:t>
      </w:r>
      <w:proofErr w:type="spellStart"/>
      <w:r w:rsidRPr="68C0CA2D">
        <w:rPr>
          <w:rFonts w:cs="Arial"/>
        </w:rPr>
        <w:t>Mellefont</w:t>
      </w:r>
      <w:proofErr w:type="spellEnd"/>
      <w:r w:rsidRPr="68C0CA2D">
        <w:rPr>
          <w:rFonts w:cs="Arial"/>
        </w:rPr>
        <w:t xml:space="preserve"> L, </w:t>
      </w:r>
      <w:proofErr w:type="spellStart"/>
      <w:r w:rsidRPr="68C0CA2D">
        <w:rPr>
          <w:rFonts w:cs="Arial"/>
        </w:rPr>
        <w:t>McQuestin</w:t>
      </w:r>
      <w:proofErr w:type="spellEnd"/>
      <w:r w:rsidRPr="68C0CA2D">
        <w:rPr>
          <w:rFonts w:cs="Arial"/>
        </w:rPr>
        <w:t xml:space="preserve"> O, Haines H, Smith J (</w:t>
      </w:r>
      <w:r w:rsidRPr="68C0CA2D">
        <w:rPr>
          <w:rFonts w:cs="Arial"/>
          <w:lang w:val="en-AU"/>
        </w:rPr>
        <w:t xml:space="preserve">2009), </w:t>
      </w:r>
      <w:r w:rsidRPr="68C0CA2D">
        <w:rPr>
          <w:rFonts w:cs="Arial"/>
        </w:rPr>
        <w:t>Risk Profiling Framework Example Classifications (Extracts), prepared for Department of Health and Ageing, Canberra</w:t>
      </w:r>
    </w:p>
    <w:p w14:paraId="244CDC66" w14:textId="77777777" w:rsidR="00CB7716" w:rsidRDefault="00266CCA" w:rsidP="00CB7716">
      <w:pPr>
        <w:rPr>
          <w:rFonts w:cs="Arial"/>
        </w:rPr>
      </w:pPr>
      <w:hyperlink r:id="rId65" w:history="1">
        <w:r w:rsidR="00CB7716" w:rsidRPr="0027520B">
          <w:rPr>
            <w:rStyle w:val="Hyperlink"/>
            <w:rFonts w:cs="Arial"/>
          </w:rPr>
          <w:t>https://foodregulation.gov.au/internet/fr/publishing.nsf/Content/37F08208FAC6F504CA2582A40027AA90/$File/FRSC-RPF-ECE.docx</w:t>
        </w:r>
      </w:hyperlink>
      <w:r w:rsidR="00CB7716">
        <w:rPr>
          <w:rStyle w:val="Hyperlink"/>
          <w:rFonts w:cs="Arial"/>
        </w:rPr>
        <w:t>,</w:t>
      </w:r>
      <w:r w:rsidR="00CB7716" w:rsidRPr="0027520B">
        <w:rPr>
          <w:rFonts w:cs="Arial"/>
        </w:rPr>
        <w:t xml:space="preserve"> </w:t>
      </w:r>
      <w:r w:rsidR="00CB7716">
        <w:rPr>
          <w:rFonts w:cs="Arial"/>
        </w:rPr>
        <w:t>a</w:t>
      </w:r>
      <w:r w:rsidR="00CB7716" w:rsidRPr="0027520B">
        <w:rPr>
          <w:rFonts w:cs="Arial"/>
        </w:rPr>
        <w:t>ccessed December 2019</w:t>
      </w:r>
      <w:r w:rsidR="00CB7716">
        <w:rPr>
          <w:rFonts w:cs="Arial"/>
        </w:rPr>
        <w:t>.</w:t>
      </w:r>
    </w:p>
    <w:p w14:paraId="33AFE948" w14:textId="77777777" w:rsidR="00CB7716" w:rsidRPr="0027520B" w:rsidRDefault="00CB7716" w:rsidP="00CB7716">
      <w:pPr>
        <w:rPr>
          <w:rFonts w:cs="Arial"/>
        </w:rPr>
      </w:pPr>
    </w:p>
    <w:p w14:paraId="7E9539C8" w14:textId="77777777" w:rsidR="00CB7716" w:rsidRDefault="00CB7716" w:rsidP="00CB7716">
      <w:pPr>
        <w:pStyle w:val="FootnoteText"/>
        <w:rPr>
          <w:rFonts w:cs="Arial"/>
          <w:sz w:val="22"/>
          <w:szCs w:val="22"/>
        </w:rPr>
      </w:pPr>
      <w:proofErr w:type="spellStart"/>
      <w:r w:rsidRPr="68C0CA2D">
        <w:rPr>
          <w:rFonts w:cs="Arial"/>
          <w:sz w:val="22"/>
          <w:szCs w:val="22"/>
        </w:rPr>
        <w:t>Thaivalappil</w:t>
      </w:r>
      <w:proofErr w:type="spellEnd"/>
      <w:r w:rsidRPr="68C0CA2D">
        <w:rPr>
          <w:rFonts w:cs="Arial"/>
          <w:sz w:val="22"/>
          <w:szCs w:val="22"/>
        </w:rPr>
        <w:t xml:space="preserve"> A, Waddell L, Greig J, Meldrum R and Young I (2018), A systematic review and thematic synthesis of qualitative research studies on factors affecting safe food handling at retail and food service. Food Control 89: 97-107.</w:t>
      </w:r>
    </w:p>
    <w:p w14:paraId="3DD6AA90" w14:textId="77777777" w:rsidR="00CB7716" w:rsidRPr="0027520B" w:rsidRDefault="00CB7716" w:rsidP="00CB7716">
      <w:pPr>
        <w:pStyle w:val="FootnoteText"/>
        <w:rPr>
          <w:rFonts w:cs="Arial"/>
          <w:sz w:val="22"/>
          <w:szCs w:val="22"/>
          <w:lang w:val="en-AU"/>
        </w:rPr>
      </w:pPr>
    </w:p>
    <w:p w14:paraId="6F5A285B" w14:textId="77777777" w:rsidR="00CB7716" w:rsidRPr="0027520B" w:rsidRDefault="00CB7716" w:rsidP="00CB7716">
      <w:pPr>
        <w:rPr>
          <w:rFonts w:cs="Arial"/>
        </w:rPr>
      </w:pPr>
      <w:r w:rsidRPr="0027520B">
        <w:rPr>
          <w:rFonts w:cs="Arial"/>
        </w:rPr>
        <w:t>Todd E (2007) Outbreaks where food workers have been implicated in the spread of foodborne disease. Part 3. Factors contributing to outbreaks and description of outbreak categories. Journal of Food Protection 70(9): 2199–2217</w:t>
      </w:r>
      <w:r>
        <w:rPr>
          <w:rFonts w:cs="Arial"/>
        </w:rPr>
        <w:t>.</w:t>
      </w:r>
    </w:p>
    <w:p w14:paraId="70CB2749" w14:textId="77777777" w:rsidR="00CB7716" w:rsidRDefault="00CB7716" w:rsidP="00CB7716">
      <w:pPr>
        <w:rPr>
          <w:rFonts w:cs="Arial"/>
        </w:rPr>
      </w:pPr>
      <w:r w:rsidRPr="0027520B">
        <w:rPr>
          <w:rFonts w:cs="Arial"/>
          <w:lang w:val="en-AU"/>
        </w:rPr>
        <w:t>Treasury (2000). Industry Self-Regulation in Consumer Markets, Report prepared by the Taskforce on Industry Self-regulation. Commonwealth of Australia, Treasury</w:t>
      </w:r>
      <w:r>
        <w:rPr>
          <w:rFonts w:cs="Arial"/>
          <w:lang w:val="en-AU"/>
        </w:rPr>
        <w:t>.</w:t>
      </w:r>
      <w:r w:rsidRPr="0027520B">
        <w:rPr>
          <w:rFonts w:cs="Arial"/>
          <w:lang w:val="en-AU"/>
        </w:rPr>
        <w:t xml:space="preserve"> </w:t>
      </w:r>
      <w:hyperlink r:id="rId66" w:history="1">
        <w:r w:rsidRPr="0027520B">
          <w:rPr>
            <w:rStyle w:val="Hyperlink"/>
            <w:rFonts w:cs="Arial"/>
            <w:lang w:val="en-AU"/>
          </w:rPr>
          <w:t>https://treasury.gov.au/sites/default/files/2019-03/final_report.pdf</w:t>
        </w:r>
      </w:hyperlink>
      <w:r w:rsidRPr="0027520B">
        <w:t>, accessed</w:t>
      </w:r>
      <w:r w:rsidRPr="0027520B">
        <w:rPr>
          <w:rFonts w:cs="Arial"/>
        </w:rPr>
        <w:t xml:space="preserve"> 21</w:t>
      </w:r>
      <w:r>
        <w:rPr>
          <w:rFonts w:cs="Arial"/>
        </w:rPr>
        <w:t>/1/</w:t>
      </w:r>
      <w:r w:rsidRPr="0027520B">
        <w:rPr>
          <w:rFonts w:cs="Arial"/>
        </w:rPr>
        <w:t>2021</w:t>
      </w:r>
      <w:r>
        <w:rPr>
          <w:rFonts w:cs="Arial"/>
        </w:rPr>
        <w:t>.</w:t>
      </w:r>
    </w:p>
    <w:p w14:paraId="3CAF2204" w14:textId="77777777" w:rsidR="00CB7716" w:rsidRPr="0027520B" w:rsidRDefault="00CB7716" w:rsidP="00CB7716">
      <w:pPr>
        <w:rPr>
          <w:rFonts w:cs="Arial"/>
        </w:rPr>
      </w:pPr>
    </w:p>
    <w:p w14:paraId="25B8CF18" w14:textId="77777777" w:rsidR="00CB7716" w:rsidRDefault="00CB7716" w:rsidP="00CB7716">
      <w:pPr>
        <w:rPr>
          <w:b/>
        </w:rPr>
      </w:pPr>
      <w:r w:rsidRPr="0027520B">
        <w:rPr>
          <w:rFonts w:cs="Arial"/>
        </w:rPr>
        <w:t xml:space="preserve">Yapp C </w:t>
      </w:r>
      <w:r>
        <w:rPr>
          <w:rFonts w:cs="Arial"/>
        </w:rPr>
        <w:t>and</w:t>
      </w:r>
      <w:r w:rsidRPr="0027520B">
        <w:rPr>
          <w:rFonts w:cs="Arial"/>
        </w:rPr>
        <w:t xml:space="preserve"> Fairman R (2006)</w:t>
      </w:r>
      <w:r>
        <w:rPr>
          <w:rFonts w:cs="Arial"/>
        </w:rPr>
        <w:t>,</w:t>
      </w:r>
      <w:r w:rsidRPr="0027520B">
        <w:rPr>
          <w:rFonts w:cs="Arial"/>
        </w:rPr>
        <w:t xml:space="preserve"> Factors affecting food safety compliance within small and medium-sized enterprises: implications for regulatory and enforcement strategies. Food Control. 17(1): 42-51</w:t>
      </w:r>
      <w:r>
        <w:rPr>
          <w:rFonts w:cs="Arial"/>
        </w:rPr>
        <w:t xml:space="preserve">. </w:t>
      </w:r>
      <w:hyperlink r:id="rId67" w:history="1">
        <w:r w:rsidRPr="0027520B">
          <w:rPr>
            <w:rStyle w:val="Hyperlink"/>
            <w:rFonts w:cs="Arial"/>
          </w:rPr>
          <w:t>https://www.sciencedirect.com/science/article/pii/S0956713504001975</w:t>
        </w:r>
      </w:hyperlink>
      <w:r>
        <w:rPr>
          <w:rStyle w:val="Hyperlink"/>
          <w:rFonts w:cs="Arial"/>
        </w:rPr>
        <w:t>,</w:t>
      </w:r>
      <w:r w:rsidRPr="0027520B">
        <w:rPr>
          <w:rFonts w:cs="Arial"/>
        </w:rPr>
        <w:t xml:space="preserve"> </w:t>
      </w:r>
      <w:r>
        <w:rPr>
          <w:rFonts w:cs="Arial"/>
        </w:rPr>
        <w:t xml:space="preserve">accessed </w:t>
      </w:r>
      <w:r w:rsidRPr="0027520B">
        <w:rPr>
          <w:rFonts w:cs="Arial"/>
        </w:rPr>
        <w:t>4</w:t>
      </w:r>
      <w:r>
        <w:rPr>
          <w:rFonts w:cs="Arial"/>
        </w:rPr>
        <w:t>/5/</w:t>
      </w:r>
      <w:r w:rsidRPr="0027520B">
        <w:rPr>
          <w:rFonts w:cs="Arial"/>
        </w:rPr>
        <w:t>2021</w:t>
      </w:r>
      <w:r>
        <w:rPr>
          <w:rFonts w:cs="Arial"/>
        </w:rPr>
        <w:t>.</w:t>
      </w:r>
      <w:r>
        <w:rPr>
          <w:b/>
        </w:rPr>
        <w:br w:type="page"/>
      </w:r>
    </w:p>
    <w:p w14:paraId="3DED84D1" w14:textId="77777777" w:rsidR="00CB7716" w:rsidRPr="008F342F" w:rsidRDefault="00CB7716" w:rsidP="0025246D">
      <w:pPr>
        <w:pStyle w:val="Heading2"/>
        <w:numPr>
          <w:ilvl w:val="0"/>
          <w:numId w:val="0"/>
        </w:numPr>
        <w:ind w:left="576" w:hanging="576"/>
      </w:pPr>
      <w:bookmarkStart w:id="366" w:name="_Appendix_1_–"/>
      <w:bookmarkStart w:id="367" w:name="_Toc104808621"/>
      <w:bookmarkStart w:id="368" w:name="_Toc107412714"/>
      <w:bookmarkStart w:id="369" w:name="_Toc109300465"/>
      <w:bookmarkEnd w:id="366"/>
      <w:r w:rsidRPr="008F342F">
        <w:lastRenderedPageBreak/>
        <w:t xml:space="preserve">Appendix 1 – </w:t>
      </w:r>
      <w:r>
        <w:t>Cost–benefit</w:t>
      </w:r>
      <w:r w:rsidRPr="008F342F">
        <w:t xml:space="preserve"> analysis</w:t>
      </w:r>
      <w:bookmarkEnd w:id="367"/>
      <w:bookmarkEnd w:id="368"/>
      <w:bookmarkEnd w:id="369"/>
    </w:p>
    <w:p w14:paraId="5C0D0923" w14:textId="77777777" w:rsidR="00CB7716" w:rsidRPr="0025246D" w:rsidRDefault="00CB7716" w:rsidP="0025246D">
      <w:pPr>
        <w:pStyle w:val="Heading3"/>
        <w:numPr>
          <w:ilvl w:val="0"/>
          <w:numId w:val="0"/>
        </w:numPr>
        <w:ind w:left="720" w:hanging="720"/>
        <w:rPr>
          <w:sz w:val="52"/>
          <w:szCs w:val="36"/>
        </w:rPr>
      </w:pPr>
      <w:bookmarkStart w:id="370" w:name="_Toc104808622"/>
      <w:bookmarkStart w:id="371" w:name="_Toc107412715"/>
      <w:bookmarkStart w:id="372" w:name="_Toc109300466"/>
      <w:r w:rsidRPr="0025246D">
        <w:rPr>
          <w:sz w:val="28"/>
        </w:rPr>
        <w:t>Introduction</w:t>
      </w:r>
      <w:bookmarkEnd w:id="370"/>
      <w:bookmarkEnd w:id="371"/>
      <w:bookmarkEnd w:id="372"/>
      <w:r w:rsidRPr="0025246D">
        <w:rPr>
          <w:sz w:val="28"/>
        </w:rPr>
        <w:t xml:space="preserve"> </w:t>
      </w:r>
    </w:p>
    <w:p w14:paraId="7B245AEE" w14:textId="77777777" w:rsidR="00CB7716" w:rsidRPr="00373F1A" w:rsidRDefault="00CB7716" w:rsidP="00DA5DD7">
      <w:pPr>
        <w:spacing w:after="240"/>
      </w:pPr>
      <w:r>
        <w:t>This appendix</w:t>
      </w:r>
      <w:r w:rsidRPr="00373F1A">
        <w:t xml:space="preserve"> provid</w:t>
      </w:r>
      <w:r>
        <w:t>es the</w:t>
      </w:r>
      <w:r w:rsidRPr="00373F1A">
        <w:t xml:space="preserve"> underlying assumptions</w:t>
      </w:r>
      <w:r>
        <w:t xml:space="preserve"> associated with the regulatory analysis provided in this DRIS.</w:t>
      </w:r>
      <w:r w:rsidRPr="00373F1A">
        <w:t xml:space="preserve"> The economic modelling is sensitive to several variables</w:t>
      </w:r>
      <w:r>
        <w:t>,</w:t>
      </w:r>
      <w:r w:rsidRPr="00373F1A">
        <w:t xml:space="preserve"> such as the potential efficacy of the intervention, estimated number of illness cases and the cost of those illnesses. These key variables each have a level of u</w:t>
      </w:r>
      <w:r>
        <w:t xml:space="preserve">ncertainty. </w:t>
      </w:r>
    </w:p>
    <w:p w14:paraId="3CC146C9" w14:textId="10710782" w:rsidR="00CB7716" w:rsidRPr="00373F1A" w:rsidRDefault="00CB7716" w:rsidP="00DA5DD7">
      <w:pPr>
        <w:spacing w:after="240"/>
      </w:pPr>
      <w:r>
        <w:t>FSANZ</w:t>
      </w:r>
      <w:r w:rsidRPr="00373F1A" w:rsidDel="00C62FDE">
        <w:t xml:space="preserve"> </w:t>
      </w:r>
      <w:r w:rsidRPr="00373F1A">
        <w:t>consider</w:t>
      </w:r>
      <w:r>
        <w:t>ed</w:t>
      </w:r>
      <w:r w:rsidRPr="00373F1A">
        <w:t xml:space="preserve"> </w:t>
      </w:r>
      <w:r>
        <w:t>two</w:t>
      </w:r>
      <w:r w:rsidRPr="00373F1A">
        <w:t xml:space="preserve"> options in addition to the status quo</w:t>
      </w:r>
      <w:r>
        <w:t xml:space="preserve"> and self-regulation</w:t>
      </w:r>
      <w:r w:rsidRPr="00373F1A">
        <w:t>. These are:</w:t>
      </w:r>
    </w:p>
    <w:p w14:paraId="5DC55D44" w14:textId="6DF2321F" w:rsidR="00CB7716" w:rsidRPr="00373F1A" w:rsidRDefault="00CB7716" w:rsidP="00DA5DD7">
      <w:pPr>
        <w:spacing w:after="240"/>
      </w:pPr>
      <w:r w:rsidRPr="00373F1A">
        <w:rPr>
          <w:b/>
        </w:rPr>
        <w:t xml:space="preserve">Option </w:t>
      </w:r>
      <w:r>
        <w:rPr>
          <w:b/>
        </w:rPr>
        <w:t>3.</w:t>
      </w:r>
      <w:r w:rsidRPr="00373F1A">
        <w:rPr>
          <w:b/>
        </w:rPr>
        <w:t>1:</w:t>
      </w:r>
      <w:r>
        <w:t xml:space="preserve"> Employment of a certified food safety s</w:t>
      </w:r>
      <w:r w:rsidRPr="00373F1A">
        <w:t xml:space="preserve">upervisor (FSS) and requiring food handler staff to </w:t>
      </w:r>
      <w:r>
        <w:t>complete</w:t>
      </w:r>
      <w:r w:rsidRPr="00373F1A">
        <w:t xml:space="preserve"> food handler training (FHT).</w:t>
      </w:r>
    </w:p>
    <w:p w14:paraId="7797E825" w14:textId="3D1E8390" w:rsidR="00CB7716" w:rsidRPr="00373F1A" w:rsidRDefault="00CB7716" w:rsidP="00DA5DD7">
      <w:pPr>
        <w:spacing w:after="240"/>
      </w:pPr>
      <w:r w:rsidRPr="00373F1A">
        <w:rPr>
          <w:b/>
        </w:rPr>
        <w:t xml:space="preserve">Option </w:t>
      </w:r>
      <w:r>
        <w:rPr>
          <w:b/>
        </w:rPr>
        <w:t>3.</w:t>
      </w:r>
      <w:r w:rsidRPr="00373F1A">
        <w:rPr>
          <w:b/>
        </w:rPr>
        <w:t>2:</w:t>
      </w:r>
      <w:r w:rsidRPr="00373F1A">
        <w:t xml:space="preserve"> A package of all three tools (FSS, FHT, </w:t>
      </w:r>
      <w:r>
        <w:t>E</w:t>
      </w:r>
      <w:r w:rsidRPr="00373F1A">
        <w:t>).</w:t>
      </w:r>
    </w:p>
    <w:p w14:paraId="19B1C99B" w14:textId="7A547F2D" w:rsidR="00CB7716" w:rsidRPr="00373F1A" w:rsidRDefault="00CB7716" w:rsidP="00DA5DD7">
      <w:pPr>
        <w:spacing w:after="240"/>
      </w:pPr>
      <w:r w:rsidRPr="00373F1A">
        <w:t xml:space="preserve">The following sections summarise the benefits and business costs associated with implementing a regulatory intervention for each tool. </w:t>
      </w:r>
      <w:r>
        <w:t>As noted above only Category 1 and Category 2 businesses were considered in this analysis as the likely illnesses generated by Category 3 businesses are not sufficient to justify the cost of further regulation.</w:t>
      </w:r>
    </w:p>
    <w:p w14:paraId="54900404" w14:textId="3061DA02" w:rsidR="00CB7716" w:rsidRPr="0025246D" w:rsidRDefault="00CB7716" w:rsidP="0025246D">
      <w:pPr>
        <w:pStyle w:val="Heading3"/>
        <w:numPr>
          <w:ilvl w:val="0"/>
          <w:numId w:val="0"/>
        </w:numPr>
        <w:ind w:left="720" w:hanging="720"/>
        <w:rPr>
          <w:sz w:val="28"/>
        </w:rPr>
      </w:pPr>
      <w:bookmarkStart w:id="373" w:name="_Toc104808623"/>
      <w:bookmarkStart w:id="374" w:name="_Toc107412716"/>
      <w:bookmarkStart w:id="375" w:name="_Toc109300467"/>
      <w:r w:rsidRPr="0025246D">
        <w:rPr>
          <w:sz w:val="28"/>
        </w:rPr>
        <w:t>Cost of interventions</w:t>
      </w:r>
      <w:bookmarkEnd w:id="373"/>
      <w:bookmarkEnd w:id="374"/>
      <w:bookmarkEnd w:id="375"/>
    </w:p>
    <w:p w14:paraId="33F6FCF3" w14:textId="77777777" w:rsidR="00CB7716" w:rsidRPr="00373F1A" w:rsidRDefault="00CB7716" w:rsidP="00DA5DD7">
      <w:pPr>
        <w:spacing w:after="240"/>
      </w:pPr>
      <w:r w:rsidRPr="00373F1A">
        <w:t>Costs associated with implementing food safety management tools occur upfront (such as initial certification fees, training and the development of system</w:t>
      </w:r>
      <w:r>
        <w:t xml:space="preserve"> to keep evidence of food safety management</w:t>
      </w:r>
      <w:r w:rsidRPr="00373F1A">
        <w:t>) as well as ongoing (such as training, verification, certification renewa</w:t>
      </w:r>
      <w:r>
        <w:t>l and creating and maintaining</w:t>
      </w:r>
      <w:r w:rsidRPr="00373F1A">
        <w:t xml:space="preserve"> </w:t>
      </w:r>
      <w:r>
        <w:t>evidence</w:t>
      </w:r>
      <w:r w:rsidRPr="00373F1A">
        <w:t>).</w:t>
      </w:r>
    </w:p>
    <w:p w14:paraId="2552B48B" w14:textId="77777777" w:rsidR="00CB7716" w:rsidRPr="00DA5DD7" w:rsidRDefault="00CB7716" w:rsidP="0025246D">
      <w:pPr>
        <w:pStyle w:val="Heading4"/>
        <w:numPr>
          <w:ilvl w:val="0"/>
          <w:numId w:val="0"/>
        </w:numPr>
        <w:ind w:left="864" w:hanging="864"/>
      </w:pPr>
      <w:bookmarkStart w:id="376" w:name="_Toc107412717"/>
      <w:r w:rsidRPr="00DA5DD7">
        <w:t>Food Safety Supervisor</w:t>
      </w:r>
      <w:bookmarkEnd w:id="376"/>
    </w:p>
    <w:p w14:paraId="70E51029" w14:textId="77777777" w:rsidR="00CB7716" w:rsidRPr="00373F1A" w:rsidRDefault="00CB7716" w:rsidP="00DA5DD7">
      <w:pPr>
        <w:spacing w:after="240"/>
        <w:rPr>
          <w:lang w:eastAsia="en-AU"/>
        </w:rPr>
      </w:pPr>
      <w:r w:rsidRPr="00373F1A">
        <w:rPr>
          <w:lang w:eastAsia="en-AU"/>
        </w:rPr>
        <w:t>Implementing this tool involves training at least one staff member to be a qualified FSS. Qualifications must be renewed every five years.</w:t>
      </w:r>
    </w:p>
    <w:p w14:paraId="1EA9E2AB" w14:textId="3044B660" w:rsidR="00CB7716" w:rsidRPr="00373F1A" w:rsidRDefault="00CB7716" w:rsidP="00DA5DD7">
      <w:pPr>
        <w:spacing w:after="240"/>
        <w:rPr>
          <w:lang w:eastAsia="en-AU"/>
        </w:rPr>
      </w:pPr>
      <w:r w:rsidRPr="00373F1A">
        <w:rPr>
          <w:lang w:eastAsia="en-AU"/>
        </w:rPr>
        <w:t>There are three scenarios across Australia depending on the current requirements within jurisdictions:</w:t>
      </w:r>
    </w:p>
    <w:p w14:paraId="766971A4" w14:textId="77777777" w:rsidR="00CB7716" w:rsidRPr="000A3D4E" w:rsidRDefault="00CB7716" w:rsidP="00614AF5">
      <w:pPr>
        <w:pStyle w:val="ListParagraph"/>
        <w:numPr>
          <w:ilvl w:val="0"/>
          <w:numId w:val="92"/>
        </w:numPr>
        <w:spacing w:after="240"/>
        <w:rPr>
          <w:lang w:eastAsia="en-AU"/>
        </w:rPr>
      </w:pPr>
      <w:r w:rsidRPr="00DA5DD7">
        <w:rPr>
          <w:b/>
          <w:lang w:eastAsia="en-AU"/>
        </w:rPr>
        <w:t>Scenario 1:</w:t>
      </w:r>
      <w:r w:rsidRPr="000A3D4E">
        <w:rPr>
          <w:lang w:eastAsia="en-AU"/>
        </w:rPr>
        <w:t xml:space="preserve"> Those jurisdictions that do not currently mandate FSS (WA, SA, Tasmania, NT)</w:t>
      </w:r>
      <w:r>
        <w:rPr>
          <w:lang w:eastAsia="en-AU"/>
        </w:rPr>
        <w:t>.</w:t>
      </w:r>
    </w:p>
    <w:p w14:paraId="46399145" w14:textId="77777777" w:rsidR="00CB7716" w:rsidRPr="000A3D4E" w:rsidRDefault="00CB7716" w:rsidP="00614AF5">
      <w:pPr>
        <w:pStyle w:val="ListParagraph"/>
        <w:numPr>
          <w:ilvl w:val="0"/>
          <w:numId w:val="92"/>
        </w:numPr>
        <w:spacing w:after="240"/>
        <w:rPr>
          <w:lang w:eastAsia="en-AU"/>
        </w:rPr>
      </w:pPr>
      <w:r w:rsidRPr="00DA5DD7">
        <w:rPr>
          <w:b/>
          <w:lang w:eastAsia="en-AU"/>
        </w:rPr>
        <w:t>Scenario 2:</w:t>
      </w:r>
      <w:r w:rsidRPr="000A3D4E">
        <w:rPr>
          <w:lang w:eastAsia="en-AU"/>
        </w:rPr>
        <w:t xml:space="preserve"> Those jurisdictions that mandate FSS</w:t>
      </w:r>
      <w:r>
        <w:rPr>
          <w:lang w:eastAsia="en-AU"/>
        </w:rPr>
        <w:t>,</w:t>
      </w:r>
      <w:r w:rsidRPr="000A3D4E">
        <w:rPr>
          <w:lang w:eastAsia="en-AU"/>
        </w:rPr>
        <w:t xml:space="preserve"> but have no certification renewal requirements (Queensland, Victoria)</w:t>
      </w:r>
      <w:r>
        <w:rPr>
          <w:lang w:eastAsia="en-AU"/>
        </w:rPr>
        <w:t>.</w:t>
      </w:r>
    </w:p>
    <w:p w14:paraId="2986E51A" w14:textId="77777777" w:rsidR="00CB7716" w:rsidRPr="00373F1A" w:rsidRDefault="00CB7716" w:rsidP="00614AF5">
      <w:pPr>
        <w:pStyle w:val="ListParagraph"/>
        <w:numPr>
          <w:ilvl w:val="0"/>
          <w:numId w:val="92"/>
        </w:numPr>
        <w:spacing w:after="240"/>
        <w:rPr>
          <w:lang w:eastAsia="en-AU"/>
        </w:rPr>
      </w:pPr>
      <w:r w:rsidRPr="00DA5DD7">
        <w:rPr>
          <w:b/>
          <w:lang w:eastAsia="en-AU"/>
        </w:rPr>
        <w:t>Scenario 3:</w:t>
      </w:r>
      <w:r w:rsidRPr="00373F1A">
        <w:rPr>
          <w:lang w:eastAsia="en-AU"/>
        </w:rPr>
        <w:t xml:space="preserve"> Those jurisdictions that have mandated FSS </w:t>
      </w:r>
      <w:r>
        <w:rPr>
          <w:lang w:eastAsia="en-AU"/>
        </w:rPr>
        <w:t>that</w:t>
      </w:r>
      <w:r w:rsidRPr="00373F1A">
        <w:rPr>
          <w:lang w:eastAsia="en-AU"/>
        </w:rPr>
        <w:t xml:space="preserve"> is similar to the proposed requirements (NSW and ACT).</w:t>
      </w:r>
    </w:p>
    <w:p w14:paraId="370FD28A" w14:textId="67D8F24C" w:rsidR="00CB7716" w:rsidRPr="00373F1A" w:rsidRDefault="00CB7716" w:rsidP="00DA5DD7">
      <w:pPr>
        <w:spacing w:after="240"/>
        <w:rPr>
          <w:lang w:eastAsia="en-AU"/>
        </w:rPr>
      </w:pPr>
      <w:r>
        <w:rPr>
          <w:lang w:eastAsia="en-AU"/>
        </w:rPr>
        <w:t>Businesses in S</w:t>
      </w:r>
      <w:r w:rsidRPr="00373F1A">
        <w:rPr>
          <w:lang w:eastAsia="en-AU"/>
        </w:rPr>
        <w:t xml:space="preserve">cenario </w:t>
      </w:r>
      <w:r>
        <w:rPr>
          <w:lang w:eastAsia="en-AU"/>
        </w:rPr>
        <w:t>1</w:t>
      </w:r>
      <w:r w:rsidRPr="00373F1A">
        <w:rPr>
          <w:lang w:eastAsia="en-AU"/>
        </w:rPr>
        <w:t xml:space="preserve"> jurisdictions will incur the highest costs (and highest benefits) with an upfront implementation</w:t>
      </w:r>
      <w:r>
        <w:rPr>
          <w:lang w:eastAsia="en-AU"/>
        </w:rPr>
        <w:t xml:space="preserve"> and</w:t>
      </w:r>
      <w:r w:rsidRPr="00373F1A">
        <w:rPr>
          <w:lang w:eastAsia="en-AU"/>
        </w:rPr>
        <w:t xml:space="preserve"> ongoing costs associated with training new staff to replace staff ‘leakage’ from industry. There is assumed to be a renewal of all FSS qualifications at year six</w:t>
      </w:r>
      <w:r>
        <w:rPr>
          <w:lang w:eastAsia="en-AU"/>
        </w:rPr>
        <w:t xml:space="preserve">. </w:t>
      </w:r>
    </w:p>
    <w:p w14:paraId="750CC588" w14:textId="313A9807" w:rsidR="00CB7716" w:rsidRPr="00373F1A" w:rsidRDefault="00CB7716" w:rsidP="00DA5DD7">
      <w:pPr>
        <w:spacing w:after="240"/>
        <w:rPr>
          <w:lang w:eastAsia="en-AU"/>
        </w:rPr>
      </w:pPr>
      <w:r>
        <w:rPr>
          <w:lang w:eastAsia="en-AU"/>
        </w:rPr>
        <w:t>Businesses in S</w:t>
      </w:r>
      <w:r w:rsidRPr="00373F1A">
        <w:rPr>
          <w:lang w:eastAsia="en-AU"/>
        </w:rPr>
        <w:t>cenario</w:t>
      </w:r>
      <w:r>
        <w:rPr>
          <w:lang w:eastAsia="en-AU"/>
        </w:rPr>
        <w:t xml:space="preserve"> 2</w:t>
      </w:r>
      <w:r w:rsidRPr="00373F1A">
        <w:rPr>
          <w:lang w:eastAsia="en-AU"/>
        </w:rPr>
        <w:t xml:space="preserve"> jurisdictions will only incur renewal training costs at year six. </w:t>
      </w:r>
    </w:p>
    <w:p w14:paraId="518AB80A" w14:textId="779BEE3D" w:rsidR="00F72B9F" w:rsidRDefault="00CB7716" w:rsidP="00DA5DD7">
      <w:pPr>
        <w:spacing w:after="240"/>
        <w:rPr>
          <w:lang w:eastAsia="en-AU"/>
        </w:rPr>
      </w:pPr>
      <w:r w:rsidRPr="00373F1A">
        <w:rPr>
          <w:lang w:eastAsia="en-AU"/>
        </w:rPr>
        <w:t>Busi</w:t>
      </w:r>
      <w:r>
        <w:rPr>
          <w:lang w:eastAsia="en-AU"/>
        </w:rPr>
        <w:t>nesses in S</w:t>
      </w:r>
      <w:r w:rsidRPr="00373F1A">
        <w:rPr>
          <w:lang w:eastAsia="en-AU"/>
        </w:rPr>
        <w:t xml:space="preserve">cenario </w:t>
      </w:r>
      <w:r>
        <w:rPr>
          <w:lang w:eastAsia="en-AU"/>
        </w:rPr>
        <w:t>3</w:t>
      </w:r>
      <w:r w:rsidRPr="00373F1A">
        <w:rPr>
          <w:lang w:eastAsia="en-AU"/>
        </w:rPr>
        <w:t xml:space="preserve"> jurisdictions do not incur incremental costs for implementing this option. </w:t>
      </w:r>
    </w:p>
    <w:p w14:paraId="38089487" w14:textId="44540576" w:rsidR="00CB7716" w:rsidRDefault="00CB7716" w:rsidP="00DA5DD7">
      <w:pPr>
        <w:spacing w:after="240"/>
        <w:rPr>
          <w:lang w:eastAsia="en-AU"/>
        </w:rPr>
      </w:pPr>
      <w:r w:rsidRPr="6A61D147">
        <w:rPr>
          <w:lang w:eastAsia="en-AU"/>
        </w:rPr>
        <w:t>The various assumptions used to calculate cost of implementing the FSS tool for businesses are shown in Table 1.</w:t>
      </w:r>
    </w:p>
    <w:p w14:paraId="1F9B42BB" w14:textId="77777777" w:rsidR="00CB7716" w:rsidRPr="008F342F" w:rsidRDefault="00CB7716" w:rsidP="00CB7716">
      <w:pPr>
        <w:pStyle w:val="FSTableFigureHeading"/>
        <w:rPr>
          <w:sz w:val="20"/>
        </w:rPr>
      </w:pPr>
      <w:r w:rsidRPr="008F342F">
        <w:rPr>
          <w:sz w:val="20"/>
        </w:rPr>
        <w:lastRenderedPageBreak/>
        <w:t xml:space="preserve">Table </w:t>
      </w:r>
      <w:r>
        <w:rPr>
          <w:sz w:val="20"/>
        </w:rPr>
        <w:t>1</w:t>
      </w:r>
      <w:r w:rsidRPr="008F342F">
        <w:rPr>
          <w:sz w:val="20"/>
        </w:rPr>
        <w:t>: Assumptions used to calculate cost of implementing the FSS tool for food businesses</w:t>
      </w:r>
    </w:p>
    <w:tbl>
      <w:tblPr>
        <w:tblW w:w="5000" w:type="pct"/>
        <w:tblLook w:val="04A0" w:firstRow="1" w:lastRow="0" w:firstColumn="1" w:lastColumn="0" w:noHBand="0" w:noVBand="1"/>
      </w:tblPr>
      <w:tblGrid>
        <w:gridCol w:w="4262"/>
        <w:gridCol w:w="4798"/>
      </w:tblGrid>
      <w:tr w:rsidR="00CB7716" w:rsidRPr="00373F1A" w14:paraId="37963FEC" w14:textId="77777777" w:rsidTr="00CB7716">
        <w:trPr>
          <w:trHeight w:val="345"/>
        </w:trPr>
        <w:tc>
          <w:tcPr>
            <w:tcW w:w="5000" w:type="pct"/>
            <w:gridSpan w:val="2"/>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003300"/>
            <w:vAlign w:val="center"/>
            <w:hideMark/>
          </w:tcPr>
          <w:p w14:paraId="225BD20F" w14:textId="77777777" w:rsidR="00CB7716" w:rsidRPr="00373F1A" w:rsidRDefault="00CB7716" w:rsidP="00CB7716">
            <w:pPr>
              <w:jc w:val="center"/>
              <w:rPr>
                <w:rFonts w:ascii="Calibri" w:hAnsi="Calibri" w:cs="Calibri"/>
                <w:b/>
                <w:bCs/>
                <w:color w:val="F2F2F2"/>
                <w:sz w:val="24"/>
                <w:lang w:eastAsia="en-GB"/>
              </w:rPr>
            </w:pPr>
            <w:r w:rsidRPr="00373F1A">
              <w:rPr>
                <w:rFonts w:ascii="Calibri" w:hAnsi="Calibri" w:cs="Calibri"/>
                <w:b/>
                <w:bCs/>
                <w:color w:val="F2F2F2"/>
                <w:sz w:val="24"/>
                <w:lang w:eastAsia="en-GB"/>
              </w:rPr>
              <w:t xml:space="preserve">FSS costs and assumptions – implementation </w:t>
            </w:r>
          </w:p>
        </w:tc>
      </w:tr>
      <w:tr w:rsidR="00CB7716" w:rsidRPr="00373F1A" w14:paraId="22F91C58" w14:textId="77777777" w:rsidTr="00CB7716">
        <w:trPr>
          <w:trHeight w:val="305"/>
        </w:trPr>
        <w:tc>
          <w:tcPr>
            <w:tcW w:w="2352" w:type="pct"/>
            <w:tcBorders>
              <w:top w:val="nil"/>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1A1F1C99"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FSS wage</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3698E795" w14:textId="77777777" w:rsidR="00CB7716" w:rsidRPr="00373F1A" w:rsidRDefault="00CB7716" w:rsidP="00CB7716">
            <w:pPr>
              <w:jc w:val="center"/>
              <w:rPr>
                <w:rFonts w:ascii="Calibri" w:hAnsi="Calibri" w:cs="Calibri"/>
                <w:color w:val="000000"/>
                <w:lang w:eastAsia="en-GB"/>
              </w:rPr>
            </w:pPr>
            <w:r w:rsidRPr="00373F1A">
              <w:rPr>
                <w:rFonts w:ascii="Calibri" w:hAnsi="Calibri" w:cs="Calibri"/>
                <w:color w:val="000000"/>
                <w:lang w:eastAsia="en-GB"/>
              </w:rPr>
              <w:t>$25.83 (from award)</w:t>
            </w:r>
          </w:p>
        </w:tc>
      </w:tr>
      <w:tr w:rsidR="00CB7716" w:rsidRPr="00373F1A" w14:paraId="695E9191" w14:textId="77777777" w:rsidTr="00CB7716">
        <w:trPr>
          <w:trHeight w:val="361"/>
        </w:trPr>
        <w:tc>
          <w:tcPr>
            <w:tcW w:w="2352" w:type="pct"/>
            <w:tcBorders>
              <w:top w:val="nil"/>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49C10DF2"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Wage on costs</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0E40DCAD" w14:textId="77777777" w:rsidR="00CB7716" w:rsidRPr="00373F1A" w:rsidRDefault="00CB7716" w:rsidP="00CB7716">
            <w:pPr>
              <w:jc w:val="center"/>
              <w:rPr>
                <w:rFonts w:ascii="Calibri" w:hAnsi="Calibri" w:cs="Calibri"/>
                <w:color w:val="000000"/>
                <w:lang w:eastAsia="en-GB"/>
              </w:rPr>
            </w:pPr>
            <w:r>
              <w:rPr>
                <w:rFonts w:ascii="Calibri" w:hAnsi="Calibri" w:cs="Calibri"/>
                <w:color w:val="000000"/>
                <w:lang w:eastAsia="en-GB"/>
              </w:rPr>
              <w:t>30</w:t>
            </w:r>
            <w:r w:rsidRPr="00373F1A">
              <w:rPr>
                <w:rFonts w:ascii="Calibri" w:hAnsi="Calibri" w:cs="Calibri"/>
                <w:color w:val="000000"/>
                <w:lang w:eastAsia="en-GB"/>
              </w:rPr>
              <w:t>%</w:t>
            </w:r>
          </w:p>
        </w:tc>
      </w:tr>
      <w:tr w:rsidR="00CB7716" w:rsidRPr="00373F1A" w14:paraId="35EDBF7E" w14:textId="77777777" w:rsidTr="00CB7716">
        <w:trPr>
          <w:trHeight w:val="219"/>
        </w:trPr>
        <w:tc>
          <w:tcPr>
            <w:tcW w:w="2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6C0354C5"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FSS training fee</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56D7F563" w14:textId="77777777" w:rsidR="00CB7716" w:rsidRPr="00373F1A" w:rsidRDefault="00CB7716" w:rsidP="00CB7716">
            <w:pPr>
              <w:jc w:val="center"/>
              <w:rPr>
                <w:rFonts w:ascii="Calibri" w:hAnsi="Calibri" w:cs="Calibri"/>
                <w:color w:val="000000"/>
                <w:lang w:eastAsia="en-GB"/>
              </w:rPr>
            </w:pPr>
            <w:r w:rsidRPr="48861835">
              <w:rPr>
                <w:rFonts w:ascii="Calibri" w:hAnsi="Calibri" w:cs="Calibri"/>
                <w:color w:val="000000" w:themeColor="text1"/>
                <w:lang w:eastAsia="en-GB"/>
              </w:rPr>
              <w:t>$170 (from an RTO)</w:t>
            </w:r>
          </w:p>
        </w:tc>
      </w:tr>
      <w:tr w:rsidR="00CB7716" w:rsidRPr="00373F1A" w14:paraId="7E2A0770" w14:textId="77777777" w:rsidTr="00CB7716">
        <w:trPr>
          <w:trHeight w:val="281"/>
        </w:trPr>
        <w:tc>
          <w:tcPr>
            <w:tcW w:w="23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7CD80728" w14:textId="77777777" w:rsidR="00CB7716" w:rsidRPr="00373F1A" w:rsidRDefault="00CB7716" w:rsidP="00CB7716">
            <w:pPr>
              <w:rPr>
                <w:rFonts w:ascii="Calibri" w:hAnsi="Calibri" w:cs="Calibri"/>
                <w:color w:val="000000"/>
                <w:lang w:eastAsia="en-GB"/>
              </w:rPr>
            </w:pPr>
            <w:r>
              <w:rPr>
                <w:rFonts w:ascii="Calibri" w:hAnsi="Calibri" w:cs="Calibri"/>
                <w:color w:val="000000"/>
                <w:lang w:eastAsia="en-GB"/>
              </w:rPr>
              <w:t xml:space="preserve">FSS </w:t>
            </w:r>
            <w:r w:rsidRPr="00373F1A">
              <w:rPr>
                <w:rFonts w:ascii="Calibri" w:hAnsi="Calibri" w:cs="Calibri"/>
                <w:color w:val="000000"/>
                <w:lang w:eastAsia="en-GB"/>
              </w:rPr>
              <w:t>training time</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06978731" w14:textId="77777777" w:rsidR="00CB7716" w:rsidRPr="00373F1A" w:rsidRDefault="00CB7716" w:rsidP="00CB7716">
            <w:pPr>
              <w:jc w:val="center"/>
              <w:rPr>
                <w:rFonts w:ascii="Calibri" w:hAnsi="Calibri" w:cs="Calibri"/>
                <w:color w:val="000000"/>
                <w:lang w:eastAsia="en-GB"/>
              </w:rPr>
            </w:pPr>
            <w:r w:rsidRPr="48861835">
              <w:rPr>
                <w:rFonts w:ascii="Calibri" w:hAnsi="Calibri" w:cs="Calibri"/>
                <w:color w:val="000000" w:themeColor="text1"/>
                <w:lang w:eastAsia="en-GB"/>
              </w:rPr>
              <w:t>10 hours (from an RTO)</w:t>
            </w:r>
          </w:p>
        </w:tc>
      </w:tr>
      <w:tr w:rsidR="00CB7716" w:rsidRPr="00373F1A" w14:paraId="51E61AD7" w14:textId="77777777" w:rsidTr="00CB7716">
        <w:trPr>
          <w:trHeight w:val="221"/>
        </w:trPr>
        <w:tc>
          <w:tcPr>
            <w:tcW w:w="2352" w:type="pct"/>
            <w:tcBorders>
              <w:top w:val="nil"/>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2D6C4D13"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Leakage</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2ED58F45" w14:textId="77777777" w:rsidR="00CB7716" w:rsidRPr="00373F1A" w:rsidRDefault="00CB7716" w:rsidP="00CB7716">
            <w:pPr>
              <w:jc w:val="center"/>
              <w:rPr>
                <w:rFonts w:ascii="Calibri" w:hAnsi="Calibri" w:cs="Calibri"/>
                <w:color w:val="000000"/>
                <w:lang w:eastAsia="en-GB"/>
              </w:rPr>
            </w:pPr>
            <w:r w:rsidRPr="00373F1A">
              <w:rPr>
                <w:rFonts w:ascii="Calibri" w:hAnsi="Calibri" w:cs="Calibri"/>
                <w:color w:val="000000"/>
                <w:lang w:eastAsia="en-GB"/>
              </w:rPr>
              <w:t>10%</w:t>
            </w:r>
          </w:p>
        </w:tc>
      </w:tr>
      <w:tr w:rsidR="00CB7716" w:rsidRPr="00373F1A" w14:paraId="24DF4699" w14:textId="77777777" w:rsidTr="00CB7716">
        <w:trPr>
          <w:trHeight w:val="252"/>
        </w:trPr>
        <w:tc>
          <w:tcPr>
            <w:tcW w:w="2352" w:type="pct"/>
            <w:tcBorders>
              <w:top w:val="nil"/>
              <w:left w:val="single" w:sz="4" w:space="0" w:color="000000" w:themeColor="text1"/>
              <w:bottom w:val="single" w:sz="4" w:space="0" w:color="000000" w:themeColor="text1"/>
              <w:right w:val="single" w:sz="4" w:space="0" w:color="000000" w:themeColor="text1"/>
            </w:tcBorders>
            <w:shd w:val="clear" w:color="auto" w:fill="EDEDED"/>
            <w:vAlign w:val="center"/>
            <w:hideMark/>
          </w:tcPr>
          <w:p w14:paraId="03A07C9B" w14:textId="77777777" w:rsidR="00CB7716" w:rsidRPr="00373F1A" w:rsidRDefault="00CB7716" w:rsidP="00CB7716">
            <w:pPr>
              <w:rPr>
                <w:rFonts w:ascii="Calibri" w:hAnsi="Calibri" w:cs="Calibri"/>
                <w:color w:val="000000"/>
                <w:lang w:eastAsia="en-GB"/>
              </w:rPr>
            </w:pPr>
            <w:r w:rsidRPr="00373F1A">
              <w:rPr>
                <w:rFonts w:ascii="Calibri" w:hAnsi="Calibri" w:cs="Calibri"/>
                <w:color w:val="000000"/>
                <w:lang w:eastAsia="en-GB"/>
              </w:rPr>
              <w:t>Renewal of FSS training</w:t>
            </w:r>
          </w:p>
        </w:tc>
        <w:tc>
          <w:tcPr>
            <w:tcW w:w="2648" w:type="pct"/>
            <w:tcBorders>
              <w:top w:val="nil"/>
              <w:left w:val="nil"/>
              <w:bottom w:val="single" w:sz="4" w:space="0" w:color="000000" w:themeColor="text1"/>
              <w:right w:val="single" w:sz="4" w:space="0" w:color="000000" w:themeColor="text1"/>
            </w:tcBorders>
            <w:shd w:val="clear" w:color="auto" w:fill="EDEDED"/>
            <w:noWrap/>
            <w:vAlign w:val="center"/>
            <w:hideMark/>
          </w:tcPr>
          <w:p w14:paraId="3ED8F943" w14:textId="77777777" w:rsidR="00CB7716" w:rsidRPr="00373F1A" w:rsidRDefault="00CB7716" w:rsidP="00CB7716">
            <w:pPr>
              <w:jc w:val="center"/>
              <w:rPr>
                <w:rFonts w:ascii="Calibri" w:hAnsi="Calibri" w:cs="Calibri"/>
                <w:color w:val="000000"/>
                <w:lang w:eastAsia="en-GB"/>
              </w:rPr>
            </w:pPr>
            <w:r w:rsidRPr="00373F1A">
              <w:rPr>
                <w:rFonts w:ascii="Calibri" w:hAnsi="Calibri" w:cs="Calibri"/>
                <w:color w:val="000000"/>
                <w:lang w:eastAsia="en-GB"/>
              </w:rPr>
              <w:t>After 5 years</w:t>
            </w:r>
          </w:p>
        </w:tc>
      </w:tr>
    </w:tbl>
    <w:p w14:paraId="5FA62CFC" w14:textId="77777777" w:rsidR="00CB7716" w:rsidRDefault="00CB7716" w:rsidP="00CB7716">
      <w:pPr>
        <w:rPr>
          <w:sz w:val="20"/>
          <w:lang w:eastAsia="en-AU"/>
        </w:rPr>
      </w:pPr>
      <w:r w:rsidRPr="00D66A38">
        <w:rPr>
          <w:sz w:val="20"/>
          <w:lang w:eastAsia="en-AU"/>
        </w:rPr>
        <w:t>RTO = registered training organisation</w:t>
      </w:r>
    </w:p>
    <w:p w14:paraId="45084655" w14:textId="77777777" w:rsidR="00CB7716" w:rsidRDefault="00CB7716" w:rsidP="00CB7716">
      <w:pPr>
        <w:rPr>
          <w:sz w:val="20"/>
          <w:lang w:eastAsia="en-AU"/>
        </w:rPr>
      </w:pPr>
    </w:p>
    <w:p w14:paraId="4923F31B" w14:textId="4EC05EF9" w:rsidR="00CB7716" w:rsidRPr="00CB7716" w:rsidRDefault="00CB7716" w:rsidP="005473B5">
      <w:pPr>
        <w:spacing w:after="240"/>
        <w:rPr>
          <w:sz w:val="20"/>
          <w:lang w:eastAsia="en-AU"/>
        </w:rPr>
      </w:pPr>
      <w:r w:rsidRPr="00373F1A">
        <w:rPr>
          <w:lang w:eastAsia="en-AU"/>
        </w:rPr>
        <w:t>FSANZ used the assumptions from Table 1 to produce cost estimates for implementing a FSS for each of the three ‘status quo’ scenarios. These estimates are provided in Table 2 and used in the regulatory analysis of the FSS intervention.</w:t>
      </w:r>
    </w:p>
    <w:p w14:paraId="03323737" w14:textId="77777777" w:rsidR="00CB7716" w:rsidRPr="008F342F" w:rsidRDefault="00CB7716" w:rsidP="00CB7716">
      <w:pPr>
        <w:pStyle w:val="FSTableFigureHeading"/>
        <w:rPr>
          <w:sz w:val="20"/>
        </w:rPr>
      </w:pPr>
      <w:r w:rsidRPr="008F342F">
        <w:rPr>
          <w:sz w:val="20"/>
        </w:rPr>
        <w:t xml:space="preserve">Table </w:t>
      </w:r>
      <w:r>
        <w:rPr>
          <w:sz w:val="20"/>
        </w:rPr>
        <w:t>2</w:t>
      </w:r>
      <w:r w:rsidRPr="008F342F">
        <w:rPr>
          <w:sz w:val="20"/>
        </w:rPr>
        <w:t xml:space="preserve">: Cost estimates of implementing the FSS </w:t>
      </w:r>
      <w:r>
        <w:rPr>
          <w:sz w:val="20"/>
        </w:rPr>
        <w:t>tool</w:t>
      </w:r>
      <w:r w:rsidRPr="008F342F">
        <w:rPr>
          <w:sz w:val="20"/>
        </w:rPr>
        <w:t xml:space="preserve"> by </w:t>
      </w:r>
      <w:r>
        <w:rPr>
          <w:sz w:val="20"/>
        </w:rPr>
        <w:t>scenario</w:t>
      </w:r>
    </w:p>
    <w:tbl>
      <w:tblPr>
        <w:tblStyle w:val="GridTable4-Accent6"/>
        <w:tblW w:w="0" w:type="auto"/>
        <w:tblLook w:val="04A0" w:firstRow="1" w:lastRow="0" w:firstColumn="1" w:lastColumn="0" w:noHBand="0" w:noVBand="1"/>
      </w:tblPr>
      <w:tblGrid>
        <w:gridCol w:w="2886"/>
        <w:gridCol w:w="1330"/>
        <w:gridCol w:w="1600"/>
        <w:gridCol w:w="1600"/>
        <w:gridCol w:w="1600"/>
      </w:tblGrid>
      <w:tr w:rsidR="00CB7716" w:rsidRPr="00373F1A" w14:paraId="271406E0" w14:textId="77777777" w:rsidTr="006E77E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6" w:type="dxa"/>
            <w:noWrap/>
            <w:hideMark/>
          </w:tcPr>
          <w:p w14:paraId="387CFBBE" w14:textId="77777777" w:rsidR="00CB7716" w:rsidRPr="00373F1A" w:rsidRDefault="00CB7716" w:rsidP="00CB7716">
            <w:pPr>
              <w:spacing w:after="85"/>
              <w:jc w:val="center"/>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FSS per business</w:t>
            </w:r>
          </w:p>
        </w:tc>
        <w:tc>
          <w:tcPr>
            <w:tcW w:w="1330" w:type="dxa"/>
            <w:noWrap/>
            <w:hideMark/>
          </w:tcPr>
          <w:p w14:paraId="2DD27BCC"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Upfront ($)</w:t>
            </w:r>
          </w:p>
          <w:p w14:paraId="7EE40E6F"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(y</w:t>
            </w:r>
            <w:r>
              <w:rPr>
                <w:rFonts w:ascii="Calibri" w:eastAsia="Times New Roman" w:hAnsi="Calibri" w:cs="Calibri"/>
                <w:color w:val="000000"/>
                <w:sz w:val="24"/>
                <w:lang w:eastAsia="en-GB"/>
              </w:rPr>
              <w:t>ear</w:t>
            </w:r>
            <w:r w:rsidRPr="00373F1A">
              <w:rPr>
                <w:rFonts w:ascii="Calibri" w:eastAsia="Times New Roman" w:hAnsi="Calibri" w:cs="Calibri"/>
                <w:color w:val="000000"/>
                <w:sz w:val="24"/>
                <w:lang w:eastAsia="en-GB"/>
              </w:rPr>
              <w:t xml:space="preserve"> 1)</w:t>
            </w:r>
          </w:p>
        </w:tc>
        <w:tc>
          <w:tcPr>
            <w:tcW w:w="1600" w:type="dxa"/>
            <w:noWrap/>
            <w:hideMark/>
          </w:tcPr>
          <w:p w14:paraId="0E0AA38D"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Ongoing ($)</w:t>
            </w:r>
          </w:p>
          <w:p w14:paraId="49310900"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y</w:t>
            </w:r>
            <w:r>
              <w:rPr>
                <w:rFonts w:ascii="Calibri" w:eastAsia="Times New Roman" w:hAnsi="Calibri" w:cs="Calibri"/>
                <w:color w:val="000000"/>
                <w:sz w:val="24"/>
                <w:lang w:eastAsia="en-GB"/>
              </w:rPr>
              <w:t>ear</w:t>
            </w:r>
            <w:r w:rsidRPr="00373F1A">
              <w:rPr>
                <w:rFonts w:ascii="Calibri" w:eastAsia="Times New Roman" w:hAnsi="Calibri" w:cs="Calibri"/>
                <w:color w:val="000000"/>
                <w:sz w:val="24"/>
                <w:lang w:eastAsia="en-GB"/>
              </w:rPr>
              <w:t xml:space="preserve"> 2-5</w:t>
            </w:r>
          </w:p>
        </w:tc>
        <w:tc>
          <w:tcPr>
            <w:tcW w:w="1600" w:type="dxa"/>
            <w:noWrap/>
            <w:hideMark/>
          </w:tcPr>
          <w:p w14:paraId="7933285A"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y</w:t>
            </w:r>
            <w:r>
              <w:rPr>
                <w:rFonts w:ascii="Calibri" w:eastAsia="Times New Roman" w:hAnsi="Calibri" w:cs="Calibri"/>
                <w:color w:val="000000"/>
                <w:sz w:val="24"/>
                <w:lang w:eastAsia="en-GB"/>
              </w:rPr>
              <w:t xml:space="preserve">ear </w:t>
            </w:r>
            <w:r w:rsidRPr="00373F1A">
              <w:rPr>
                <w:rFonts w:ascii="Calibri" w:eastAsia="Times New Roman" w:hAnsi="Calibri" w:cs="Calibri"/>
                <w:color w:val="000000"/>
                <w:sz w:val="24"/>
                <w:lang w:eastAsia="en-GB"/>
              </w:rPr>
              <w:t>6 ($)</w:t>
            </w:r>
          </w:p>
        </w:tc>
        <w:tc>
          <w:tcPr>
            <w:tcW w:w="1600" w:type="dxa"/>
            <w:noWrap/>
            <w:hideMark/>
          </w:tcPr>
          <w:p w14:paraId="3A9FFF5B" w14:textId="77777777" w:rsidR="00CB7716" w:rsidRPr="00373F1A" w:rsidRDefault="00CB7716" w:rsidP="00CB7716">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lang w:eastAsia="en-GB"/>
              </w:rPr>
            </w:pPr>
            <w:r w:rsidRPr="00373F1A">
              <w:rPr>
                <w:rFonts w:ascii="Calibri" w:eastAsia="Times New Roman" w:hAnsi="Calibri" w:cs="Calibri"/>
                <w:color w:val="000000"/>
                <w:sz w:val="24"/>
                <w:lang w:eastAsia="en-GB"/>
              </w:rPr>
              <w:t>y</w:t>
            </w:r>
            <w:r>
              <w:rPr>
                <w:rFonts w:ascii="Calibri" w:eastAsia="Times New Roman" w:hAnsi="Calibri" w:cs="Calibri"/>
                <w:color w:val="000000"/>
                <w:sz w:val="24"/>
                <w:lang w:eastAsia="en-GB"/>
              </w:rPr>
              <w:t>ear</w:t>
            </w:r>
            <w:r w:rsidRPr="00373F1A">
              <w:rPr>
                <w:rFonts w:ascii="Calibri" w:eastAsia="Times New Roman" w:hAnsi="Calibri" w:cs="Calibri"/>
                <w:color w:val="000000"/>
                <w:sz w:val="24"/>
                <w:lang w:eastAsia="en-GB"/>
              </w:rPr>
              <w:t xml:space="preserve"> 7-10 ($)</w:t>
            </w:r>
          </w:p>
        </w:tc>
      </w:tr>
      <w:tr w:rsidR="00CB7716" w:rsidRPr="00373F1A" w14:paraId="1C20521F" w14:textId="77777777" w:rsidTr="006E77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6" w:type="dxa"/>
            <w:noWrap/>
            <w:hideMark/>
          </w:tcPr>
          <w:p w14:paraId="4658776C" w14:textId="77777777" w:rsidR="00CB7716" w:rsidRPr="007F5AD5" w:rsidRDefault="00CB7716" w:rsidP="00CB7716">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1: WA, SA, Tasmania, NT</w:t>
            </w:r>
          </w:p>
        </w:tc>
        <w:tc>
          <w:tcPr>
            <w:tcW w:w="1330" w:type="dxa"/>
            <w:noWrap/>
            <w:hideMark/>
          </w:tcPr>
          <w:p w14:paraId="4AEA3EFA"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506</w:t>
            </w:r>
            <w:r w:rsidRPr="00373F1A">
              <w:rPr>
                <w:rFonts w:ascii="Calibri" w:eastAsia="Times New Roman" w:hAnsi="Calibri" w:cs="Calibri"/>
                <w:bCs/>
                <w:color w:val="000000"/>
                <w:lang w:eastAsia="en-GB"/>
              </w:rPr>
              <w:t>.00</w:t>
            </w:r>
          </w:p>
        </w:tc>
        <w:tc>
          <w:tcPr>
            <w:tcW w:w="1600" w:type="dxa"/>
            <w:noWrap/>
            <w:hideMark/>
          </w:tcPr>
          <w:p w14:paraId="177EE75F"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51</w:t>
            </w:r>
            <w:r w:rsidRPr="00373F1A">
              <w:rPr>
                <w:rFonts w:ascii="Calibri" w:eastAsia="Times New Roman" w:hAnsi="Calibri" w:cs="Calibri"/>
                <w:bCs/>
                <w:color w:val="000000"/>
                <w:lang w:eastAsia="en-GB"/>
              </w:rPr>
              <w:t>.00</w:t>
            </w:r>
          </w:p>
        </w:tc>
        <w:tc>
          <w:tcPr>
            <w:tcW w:w="1600" w:type="dxa"/>
            <w:noWrap/>
            <w:hideMark/>
          </w:tcPr>
          <w:p w14:paraId="7A7EE639"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253</w:t>
            </w:r>
            <w:r w:rsidRPr="00373F1A">
              <w:rPr>
                <w:rFonts w:ascii="Calibri" w:eastAsia="Times New Roman" w:hAnsi="Calibri" w:cs="Calibri"/>
                <w:bCs/>
                <w:color w:val="000000"/>
                <w:lang w:eastAsia="en-GB"/>
              </w:rPr>
              <w:t>.</w:t>
            </w:r>
            <w:r>
              <w:rPr>
                <w:rFonts w:ascii="Calibri" w:eastAsia="Times New Roman" w:hAnsi="Calibri" w:cs="Calibri"/>
                <w:bCs/>
                <w:color w:val="000000"/>
                <w:lang w:eastAsia="en-GB"/>
              </w:rPr>
              <w:t>00</w:t>
            </w:r>
          </w:p>
        </w:tc>
        <w:tc>
          <w:tcPr>
            <w:tcW w:w="1600" w:type="dxa"/>
            <w:noWrap/>
            <w:hideMark/>
          </w:tcPr>
          <w:p w14:paraId="71531A2E"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1</w:t>
            </w:r>
            <w:r>
              <w:rPr>
                <w:rFonts w:ascii="Calibri" w:eastAsia="Times New Roman" w:hAnsi="Calibri" w:cs="Calibri"/>
                <w:bCs/>
                <w:color w:val="000000"/>
                <w:lang w:eastAsia="en-GB"/>
              </w:rPr>
              <w:t>0</w:t>
            </w:r>
            <w:r w:rsidRPr="00373F1A">
              <w:rPr>
                <w:rFonts w:ascii="Calibri" w:eastAsia="Times New Roman" w:hAnsi="Calibri" w:cs="Calibri"/>
                <w:bCs/>
                <w:color w:val="000000"/>
                <w:lang w:eastAsia="en-GB"/>
              </w:rPr>
              <w:t>2.40</w:t>
            </w:r>
          </w:p>
        </w:tc>
      </w:tr>
      <w:tr w:rsidR="00CB7716" w:rsidRPr="00373F1A" w14:paraId="5461DE1E" w14:textId="77777777" w:rsidTr="006E77ED">
        <w:trPr>
          <w:trHeight w:val="321"/>
        </w:trPr>
        <w:tc>
          <w:tcPr>
            <w:cnfStyle w:val="001000000000" w:firstRow="0" w:lastRow="0" w:firstColumn="1" w:lastColumn="0" w:oddVBand="0" w:evenVBand="0" w:oddHBand="0" w:evenHBand="0" w:firstRowFirstColumn="0" w:firstRowLastColumn="0" w:lastRowFirstColumn="0" w:lastRowLastColumn="0"/>
            <w:tcW w:w="2886" w:type="dxa"/>
            <w:noWrap/>
            <w:hideMark/>
          </w:tcPr>
          <w:p w14:paraId="1EFB2909" w14:textId="77777777" w:rsidR="00CB7716" w:rsidRPr="007F5AD5" w:rsidRDefault="00CB7716" w:rsidP="00CB7716">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2: Queensland, Victoria</w:t>
            </w:r>
          </w:p>
        </w:tc>
        <w:tc>
          <w:tcPr>
            <w:tcW w:w="1330" w:type="dxa"/>
            <w:noWrap/>
            <w:hideMark/>
          </w:tcPr>
          <w:p w14:paraId="2461F378" w14:textId="77777777" w:rsidR="00CB7716" w:rsidRPr="00373F1A" w:rsidRDefault="00CB7716" w:rsidP="00CB7716">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5CC61B15" w14:textId="77777777" w:rsidR="00CB7716" w:rsidRPr="00373F1A" w:rsidRDefault="00CB7716" w:rsidP="00CB7716">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3709E253" w14:textId="77777777" w:rsidR="00CB7716" w:rsidRPr="00373F1A" w:rsidRDefault="00CB7716" w:rsidP="00CB7716">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506</w:t>
            </w:r>
            <w:r w:rsidRPr="00373F1A">
              <w:rPr>
                <w:rFonts w:ascii="Calibri" w:eastAsia="Times New Roman" w:hAnsi="Calibri" w:cs="Calibri"/>
                <w:bCs/>
                <w:color w:val="000000"/>
                <w:lang w:eastAsia="en-GB"/>
              </w:rPr>
              <w:t>.00</w:t>
            </w:r>
          </w:p>
        </w:tc>
        <w:tc>
          <w:tcPr>
            <w:tcW w:w="1600" w:type="dxa"/>
            <w:noWrap/>
            <w:hideMark/>
          </w:tcPr>
          <w:p w14:paraId="113C60FF" w14:textId="77777777" w:rsidR="00CB7716" w:rsidRPr="00373F1A" w:rsidRDefault="00CB7716" w:rsidP="00CB7716">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r>
      <w:tr w:rsidR="00CB7716" w:rsidRPr="00373F1A" w14:paraId="594CBE51" w14:textId="77777777" w:rsidTr="006E77ED">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886" w:type="dxa"/>
            <w:noWrap/>
            <w:hideMark/>
          </w:tcPr>
          <w:p w14:paraId="499309AD" w14:textId="77777777" w:rsidR="00CB7716" w:rsidRPr="007F5AD5" w:rsidRDefault="00CB7716" w:rsidP="00CB7716">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3: ACT, NSW</w:t>
            </w:r>
          </w:p>
        </w:tc>
        <w:tc>
          <w:tcPr>
            <w:tcW w:w="1330" w:type="dxa"/>
            <w:noWrap/>
            <w:hideMark/>
          </w:tcPr>
          <w:p w14:paraId="28E71774"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447B7C4E"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505C9AE5"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hideMark/>
          </w:tcPr>
          <w:p w14:paraId="0BAF25E0" w14:textId="77777777" w:rsidR="00CB7716" w:rsidRPr="00373F1A" w:rsidRDefault="00CB7716" w:rsidP="00CB7716">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r>
    </w:tbl>
    <w:p w14:paraId="2DE00D86" w14:textId="77777777" w:rsidR="0025246D" w:rsidRDefault="0025246D" w:rsidP="0025246D">
      <w:bookmarkStart w:id="377" w:name="_Toc107412718"/>
    </w:p>
    <w:p w14:paraId="702E0F40" w14:textId="5A0C8891" w:rsidR="00CB7716" w:rsidRPr="0025246D" w:rsidRDefault="00CB7716" w:rsidP="0025246D">
      <w:pPr>
        <w:pStyle w:val="Heading4"/>
        <w:numPr>
          <w:ilvl w:val="0"/>
          <w:numId w:val="0"/>
        </w:numPr>
        <w:ind w:left="864" w:hanging="864"/>
      </w:pPr>
      <w:r w:rsidRPr="0025246D">
        <w:t>Food handler training</w:t>
      </w:r>
      <w:bookmarkEnd w:id="377"/>
      <w:r w:rsidRPr="0025246D">
        <w:t xml:space="preserve"> </w:t>
      </w:r>
    </w:p>
    <w:p w14:paraId="320C04AF" w14:textId="77777777" w:rsidR="00CB7716" w:rsidRPr="00373F1A" w:rsidRDefault="00CB7716" w:rsidP="0000604C">
      <w:pPr>
        <w:spacing w:after="240"/>
        <w:rPr>
          <w:lang w:eastAsia="en-AU"/>
        </w:rPr>
      </w:pPr>
      <w:r w:rsidRPr="00373F1A">
        <w:rPr>
          <w:lang w:eastAsia="en-AU"/>
        </w:rPr>
        <w:t xml:space="preserve">Implementing this tool involves all food handler staff within a food business </w:t>
      </w:r>
      <w:r>
        <w:rPr>
          <w:lang w:eastAsia="en-AU"/>
        </w:rPr>
        <w:t>completing</w:t>
      </w:r>
      <w:r w:rsidRPr="00373F1A">
        <w:rPr>
          <w:lang w:eastAsia="en-AU"/>
        </w:rPr>
        <w:t xml:space="preserve"> food safety training once. Food safety training is expected to take approximately an hour and a half to complete. Training packages are freely available on the internet through food regulatory agencies and are provided in multiple languages.</w:t>
      </w:r>
    </w:p>
    <w:p w14:paraId="121C7FEC" w14:textId="3079E17C" w:rsidR="00CB7716" w:rsidRPr="00373F1A" w:rsidRDefault="00CB7716" w:rsidP="0000604C">
      <w:pPr>
        <w:spacing w:after="240"/>
        <w:rPr>
          <w:lang w:eastAsia="en-AU"/>
        </w:rPr>
      </w:pPr>
      <w:r w:rsidRPr="00373F1A">
        <w:rPr>
          <w:lang w:eastAsia="en-AU"/>
        </w:rPr>
        <w:t xml:space="preserve">There is currently no regulatory requirement for mandatory food handler training in any Australian jurisdiction. However, several jurisdictions promote the free training available. </w:t>
      </w:r>
    </w:p>
    <w:p w14:paraId="6A644C1C" w14:textId="77777777" w:rsidR="00CB7716" w:rsidRPr="00373F1A" w:rsidRDefault="00CB7716" w:rsidP="0000604C">
      <w:pPr>
        <w:spacing w:after="240"/>
        <w:rPr>
          <w:lang w:eastAsia="en-AU"/>
        </w:rPr>
      </w:pPr>
      <w:r w:rsidRPr="68C0CA2D">
        <w:rPr>
          <w:lang w:eastAsia="en-AU"/>
        </w:rPr>
        <w:t>The status quo assumes that there are varying degrees in the uptake by food handlers of this free training. For the purposes of costing this intervention, FSANZ assumed between 0–20% uptake. Businesses incurring the highest costs will also incur the highest benefits with upfront implementation of this tool.</w:t>
      </w:r>
    </w:p>
    <w:p w14:paraId="45155C65" w14:textId="2AB9C7E2" w:rsidR="00CB7716" w:rsidRPr="0000604C" w:rsidRDefault="00CB7716" w:rsidP="0000604C">
      <w:pPr>
        <w:rPr>
          <w:lang w:eastAsia="en-AU"/>
        </w:rPr>
      </w:pPr>
      <w:r w:rsidRPr="00373F1A">
        <w:rPr>
          <w:lang w:eastAsia="en-AU"/>
        </w:rPr>
        <w:t>The Allen Consulting Group’s</w:t>
      </w:r>
      <w:r w:rsidRPr="00373F1A">
        <w:rPr>
          <w:vertAlign w:val="superscript"/>
          <w:lang w:eastAsia="en-AU"/>
        </w:rPr>
        <w:t xml:space="preserve"> </w:t>
      </w:r>
      <w:r w:rsidRPr="00373F1A">
        <w:rPr>
          <w:lang w:eastAsia="en-AU"/>
        </w:rPr>
        <w:t xml:space="preserve">report </w:t>
      </w:r>
      <w:sdt>
        <w:sdtPr>
          <w:rPr>
            <w:lang w:eastAsia="en-AU"/>
          </w:rPr>
          <w:id w:val="-762833934"/>
          <w:lock w:val="contentLocked"/>
          <w:placeholder>
            <w:docPart w:val="658E0A4F0F7E48508E0065074B3466B1"/>
          </w:placeholder>
          <w:citation/>
        </w:sdtPr>
        <w:sdtEndPr/>
        <w:sdtContent>
          <w:r w:rsidRPr="00373F1A">
            <w:rPr>
              <w:lang w:eastAsia="en-AU"/>
            </w:rPr>
            <w:fldChar w:fldCharType="begin"/>
          </w:r>
          <w:r w:rsidRPr="00373F1A">
            <w:rPr>
              <w:lang w:val="en-AU" w:eastAsia="en-AU"/>
            </w:rPr>
            <w:instrText xml:space="preserve">CITATION The02 \n  \t  \l 3081 </w:instrText>
          </w:r>
          <w:r w:rsidRPr="00373F1A">
            <w:rPr>
              <w:lang w:eastAsia="en-AU"/>
            </w:rPr>
            <w:fldChar w:fldCharType="separate"/>
          </w:r>
          <w:r>
            <w:rPr>
              <w:noProof/>
              <w:lang w:val="en-AU" w:eastAsia="en-AU"/>
            </w:rPr>
            <w:t>(2002)</w:t>
          </w:r>
          <w:r w:rsidRPr="00373F1A">
            <w:rPr>
              <w:lang w:eastAsia="en-AU"/>
            </w:rPr>
            <w:fldChar w:fldCharType="end"/>
          </w:r>
        </w:sdtContent>
      </w:sdt>
      <w:r w:rsidRPr="00373F1A">
        <w:rPr>
          <w:lang w:eastAsia="en-AU"/>
        </w:rPr>
        <w:t xml:space="preserve"> estimated that there were, on average, eight food handler staff in food service businesses and four in food reta</w:t>
      </w:r>
      <w:r w:rsidR="00F72B9F">
        <w:rPr>
          <w:lang w:eastAsia="en-AU"/>
        </w:rPr>
        <w:t xml:space="preserve">il businesses across Australia. </w:t>
      </w:r>
      <w:r>
        <w:rPr>
          <w:lang w:eastAsia="en-AU"/>
        </w:rPr>
        <w:t>T</w:t>
      </w:r>
      <w:r w:rsidRPr="00373F1A">
        <w:rPr>
          <w:lang w:eastAsia="en-AU"/>
        </w:rPr>
        <w:t xml:space="preserve">o simplify the assumptions for the costing of this scenario, </w:t>
      </w:r>
      <w:r>
        <w:rPr>
          <w:lang w:eastAsia="en-AU"/>
        </w:rPr>
        <w:t>we</w:t>
      </w:r>
      <w:r w:rsidRPr="00373F1A">
        <w:rPr>
          <w:lang w:eastAsia="en-AU"/>
        </w:rPr>
        <w:t xml:space="preserve"> assumed that on average there are six food handling staff for each food business. It </w:t>
      </w:r>
      <w:r>
        <w:rPr>
          <w:lang w:eastAsia="en-AU"/>
        </w:rPr>
        <w:t>wa</w:t>
      </w:r>
      <w:r w:rsidRPr="00373F1A">
        <w:rPr>
          <w:lang w:eastAsia="en-AU"/>
        </w:rPr>
        <w:t>s assumed that one of th</w:t>
      </w:r>
      <w:r>
        <w:rPr>
          <w:lang w:eastAsia="en-AU"/>
        </w:rPr>
        <w:t>ese food handlers will be an FSS; so</w:t>
      </w:r>
      <w:r w:rsidRPr="00373F1A">
        <w:rPr>
          <w:lang w:eastAsia="en-AU"/>
        </w:rPr>
        <w:t xml:space="preserve"> </w:t>
      </w:r>
      <w:r>
        <w:rPr>
          <w:lang w:eastAsia="en-AU"/>
        </w:rPr>
        <w:t xml:space="preserve">was </w:t>
      </w:r>
      <w:r w:rsidRPr="00373F1A">
        <w:rPr>
          <w:lang w:eastAsia="en-AU"/>
        </w:rPr>
        <w:t xml:space="preserve">excluded from the FHT </w:t>
      </w:r>
      <w:r w:rsidR="0000604C">
        <w:rPr>
          <w:lang w:eastAsia="en-AU"/>
        </w:rPr>
        <w:t xml:space="preserve">costings. </w:t>
      </w:r>
      <w:r>
        <w:rPr>
          <w:lang w:eastAsia="en-AU"/>
        </w:rPr>
        <w:t>The v</w:t>
      </w:r>
      <w:r w:rsidRPr="00373F1A">
        <w:rPr>
          <w:lang w:eastAsia="en-AU"/>
        </w:rPr>
        <w:t>arious assumptions used to calculate cost of implementing the FHT tool fo</w:t>
      </w:r>
      <w:r>
        <w:rPr>
          <w:lang w:eastAsia="en-AU"/>
        </w:rPr>
        <w:t>r businesses are shown in Table 3</w:t>
      </w:r>
      <w:r w:rsidRPr="00373F1A">
        <w:rPr>
          <w:lang w:eastAsia="en-AU"/>
        </w:rPr>
        <w:t>.</w:t>
      </w:r>
    </w:p>
    <w:p w14:paraId="5F866156" w14:textId="2ACC8552" w:rsidR="00CB7716" w:rsidRPr="008F342F" w:rsidRDefault="00CB7716" w:rsidP="00CB7716">
      <w:pPr>
        <w:pStyle w:val="FSTableFigureHeading"/>
        <w:rPr>
          <w:sz w:val="20"/>
        </w:rPr>
      </w:pPr>
      <w:r w:rsidRPr="008F342F">
        <w:rPr>
          <w:sz w:val="20"/>
        </w:rPr>
        <w:lastRenderedPageBreak/>
        <w:t xml:space="preserve">Table </w:t>
      </w:r>
      <w:r>
        <w:rPr>
          <w:sz w:val="20"/>
        </w:rPr>
        <w:t>3</w:t>
      </w:r>
      <w:r w:rsidRPr="008F342F">
        <w:rPr>
          <w:sz w:val="20"/>
        </w:rPr>
        <w:t>: Assumptions used to calculate cost of implementing the FHT tool for food businesses</w:t>
      </w:r>
    </w:p>
    <w:tbl>
      <w:tblPr>
        <w:tblW w:w="5000" w:type="pct"/>
        <w:tblLook w:val="04A0" w:firstRow="1" w:lastRow="0" w:firstColumn="1" w:lastColumn="0" w:noHBand="0" w:noVBand="1"/>
      </w:tblPr>
      <w:tblGrid>
        <w:gridCol w:w="5360"/>
        <w:gridCol w:w="3700"/>
      </w:tblGrid>
      <w:tr w:rsidR="00CB7716" w:rsidRPr="00373F1A" w14:paraId="5C995226" w14:textId="77777777" w:rsidTr="00CB7716">
        <w:trPr>
          <w:trHeight w:val="345"/>
          <w:tblHeader/>
        </w:trPr>
        <w:tc>
          <w:tcPr>
            <w:tcW w:w="5000" w:type="pct"/>
            <w:gridSpan w:val="2"/>
            <w:tcBorders>
              <w:top w:val="single" w:sz="4" w:space="0" w:color="FFFFFF"/>
              <w:left w:val="single" w:sz="4" w:space="0" w:color="000000"/>
              <w:bottom w:val="single" w:sz="4" w:space="0" w:color="000000"/>
              <w:right w:val="single" w:sz="4" w:space="0" w:color="000000"/>
            </w:tcBorders>
            <w:shd w:val="clear" w:color="000000" w:fill="003300"/>
            <w:hideMark/>
          </w:tcPr>
          <w:p w14:paraId="4151077E" w14:textId="77777777" w:rsidR="00CB7716" w:rsidRPr="00373F1A" w:rsidRDefault="00CB7716" w:rsidP="00CB7716">
            <w:pPr>
              <w:keepLines/>
              <w:jc w:val="center"/>
              <w:rPr>
                <w:rFonts w:ascii="Calibri" w:hAnsi="Calibri"/>
                <w:b/>
                <w:bCs/>
                <w:color w:val="F2F2F2"/>
                <w:sz w:val="26"/>
                <w:szCs w:val="26"/>
                <w:lang w:eastAsia="en-GB"/>
              </w:rPr>
            </w:pPr>
            <w:r w:rsidRPr="00373F1A">
              <w:rPr>
                <w:rFonts w:ascii="Calibri" w:hAnsi="Calibri"/>
                <w:b/>
                <w:bCs/>
                <w:color w:val="F2F2F2"/>
                <w:sz w:val="26"/>
                <w:szCs w:val="26"/>
                <w:lang w:eastAsia="en-GB"/>
              </w:rPr>
              <w:t xml:space="preserve">FHT costs and assumptions – implementation </w:t>
            </w:r>
          </w:p>
        </w:tc>
      </w:tr>
      <w:tr w:rsidR="00CB7716" w:rsidRPr="00373F1A" w14:paraId="6FA583E4" w14:textId="77777777" w:rsidTr="00CB7716">
        <w:trPr>
          <w:trHeight w:val="274"/>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00F172CC"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wage</w:t>
            </w:r>
          </w:p>
        </w:tc>
        <w:tc>
          <w:tcPr>
            <w:tcW w:w="2042" w:type="pct"/>
            <w:tcBorders>
              <w:top w:val="nil"/>
              <w:left w:val="nil"/>
              <w:bottom w:val="single" w:sz="4" w:space="0" w:color="000000"/>
              <w:right w:val="single" w:sz="4" w:space="0" w:color="000000"/>
            </w:tcBorders>
            <w:shd w:val="clear" w:color="000000" w:fill="EDEDED"/>
            <w:noWrap/>
            <w:hideMark/>
          </w:tcPr>
          <w:p w14:paraId="49CD9A4E"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$23 p/h (from award)</w:t>
            </w:r>
          </w:p>
        </w:tc>
      </w:tr>
      <w:tr w:rsidR="00CB7716" w:rsidRPr="00373F1A" w14:paraId="7E521E60" w14:textId="77777777" w:rsidTr="00CB7716">
        <w:trPr>
          <w:trHeight w:val="268"/>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3BC1BA2A"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Wage on costs</w:t>
            </w:r>
          </w:p>
        </w:tc>
        <w:tc>
          <w:tcPr>
            <w:tcW w:w="2042" w:type="pct"/>
            <w:tcBorders>
              <w:top w:val="nil"/>
              <w:left w:val="nil"/>
              <w:bottom w:val="single" w:sz="4" w:space="0" w:color="000000"/>
              <w:right w:val="single" w:sz="4" w:space="0" w:color="000000"/>
            </w:tcBorders>
            <w:shd w:val="clear" w:color="000000" w:fill="EDEDED"/>
            <w:noWrap/>
            <w:hideMark/>
          </w:tcPr>
          <w:p w14:paraId="120FAC4F"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30</w:t>
            </w:r>
            <w:r w:rsidRPr="00373F1A">
              <w:rPr>
                <w:rFonts w:ascii="Calibri" w:hAnsi="Calibri"/>
                <w:color w:val="000000"/>
                <w:lang w:eastAsia="en-GB"/>
              </w:rPr>
              <w:t>%</w:t>
            </w:r>
          </w:p>
        </w:tc>
      </w:tr>
      <w:tr w:rsidR="00CB7716" w:rsidRPr="00373F1A" w14:paraId="3EFD93D8" w14:textId="77777777" w:rsidTr="00CB7716">
        <w:trPr>
          <w:trHeight w:val="272"/>
          <w:tblHeader/>
        </w:trPr>
        <w:tc>
          <w:tcPr>
            <w:tcW w:w="2958" w:type="pct"/>
            <w:tcBorders>
              <w:top w:val="single" w:sz="4" w:space="0" w:color="000000"/>
              <w:left w:val="single" w:sz="4" w:space="0" w:color="000000"/>
              <w:bottom w:val="single" w:sz="4" w:space="0" w:color="000000"/>
              <w:right w:val="single" w:sz="4" w:space="0" w:color="000000"/>
            </w:tcBorders>
            <w:shd w:val="clear" w:color="000000" w:fill="EDEDED"/>
          </w:tcPr>
          <w:p w14:paraId="2F643440"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Number of food handler</w:t>
            </w:r>
            <w:r>
              <w:rPr>
                <w:rFonts w:ascii="Calibri" w:hAnsi="Calibri"/>
                <w:color w:val="000000"/>
                <w:lang w:eastAsia="en-GB"/>
              </w:rPr>
              <w:t>s</w:t>
            </w:r>
            <w:r w:rsidRPr="00373F1A">
              <w:rPr>
                <w:rFonts w:ascii="Calibri" w:hAnsi="Calibri"/>
                <w:color w:val="000000"/>
                <w:lang w:eastAsia="en-GB"/>
              </w:rPr>
              <w:t xml:space="preserve"> </w:t>
            </w:r>
          </w:p>
        </w:tc>
        <w:tc>
          <w:tcPr>
            <w:tcW w:w="2042" w:type="pct"/>
            <w:tcBorders>
              <w:top w:val="nil"/>
              <w:left w:val="nil"/>
              <w:bottom w:val="single" w:sz="4" w:space="0" w:color="000000"/>
              <w:right w:val="single" w:sz="4" w:space="0" w:color="000000"/>
            </w:tcBorders>
            <w:shd w:val="clear" w:color="000000" w:fill="EDEDED"/>
            <w:noWrap/>
          </w:tcPr>
          <w:p w14:paraId="323539F7"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5 people</w:t>
            </w:r>
          </w:p>
        </w:tc>
      </w:tr>
      <w:tr w:rsidR="00CB7716" w:rsidRPr="00373F1A" w14:paraId="0A0A7BE7" w14:textId="77777777" w:rsidTr="00CB7716">
        <w:trPr>
          <w:trHeight w:val="300"/>
          <w:tblHeader/>
        </w:trPr>
        <w:tc>
          <w:tcPr>
            <w:tcW w:w="2958" w:type="pct"/>
            <w:tcBorders>
              <w:top w:val="single" w:sz="4" w:space="0" w:color="000000"/>
              <w:left w:val="single" w:sz="4" w:space="0" w:color="000000"/>
              <w:bottom w:val="single" w:sz="4" w:space="0" w:color="000000"/>
              <w:right w:val="single" w:sz="4" w:space="0" w:color="000000"/>
            </w:tcBorders>
            <w:shd w:val="clear" w:color="000000" w:fill="EDEDED"/>
            <w:hideMark/>
          </w:tcPr>
          <w:p w14:paraId="211D9A84"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training time</w:t>
            </w:r>
          </w:p>
        </w:tc>
        <w:tc>
          <w:tcPr>
            <w:tcW w:w="2042" w:type="pct"/>
            <w:tcBorders>
              <w:top w:val="nil"/>
              <w:left w:val="nil"/>
              <w:bottom w:val="single" w:sz="4" w:space="0" w:color="000000"/>
              <w:right w:val="single" w:sz="4" w:space="0" w:color="000000"/>
            </w:tcBorders>
            <w:shd w:val="clear" w:color="000000" w:fill="EDEDED"/>
            <w:noWrap/>
            <w:hideMark/>
          </w:tcPr>
          <w:p w14:paraId="07BD73A7"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1.5 hours</w:t>
            </w:r>
          </w:p>
        </w:tc>
      </w:tr>
      <w:tr w:rsidR="00CB7716" w:rsidRPr="00373F1A" w14:paraId="03E7BB22" w14:textId="77777777" w:rsidTr="00CB7716">
        <w:trPr>
          <w:trHeight w:val="255"/>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4F40032A"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leakage</w:t>
            </w:r>
          </w:p>
        </w:tc>
        <w:tc>
          <w:tcPr>
            <w:tcW w:w="2042" w:type="pct"/>
            <w:tcBorders>
              <w:top w:val="nil"/>
              <w:left w:val="nil"/>
              <w:bottom w:val="single" w:sz="4" w:space="0" w:color="000000"/>
              <w:right w:val="single" w:sz="4" w:space="0" w:color="000000"/>
            </w:tcBorders>
            <w:shd w:val="clear" w:color="000000" w:fill="EDEDED"/>
            <w:noWrap/>
            <w:hideMark/>
          </w:tcPr>
          <w:p w14:paraId="65C64F94"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40%</w:t>
            </w:r>
          </w:p>
        </w:tc>
      </w:tr>
    </w:tbl>
    <w:p w14:paraId="6C02BD13" w14:textId="77777777" w:rsidR="00CB7716" w:rsidRPr="00373F1A" w:rsidRDefault="00CB7716" w:rsidP="00CB7716">
      <w:pPr>
        <w:rPr>
          <w:highlight w:val="yellow"/>
          <w:lang w:eastAsia="en-AU"/>
        </w:rPr>
      </w:pPr>
    </w:p>
    <w:p w14:paraId="401C64CF" w14:textId="77777777" w:rsidR="00CB7716" w:rsidRDefault="00CB7716" w:rsidP="0000604C">
      <w:pPr>
        <w:spacing w:after="240"/>
        <w:rPr>
          <w:lang w:eastAsia="en-AU"/>
        </w:rPr>
      </w:pPr>
      <w:r w:rsidRPr="001B6656">
        <w:rPr>
          <w:lang w:eastAsia="en-AU"/>
        </w:rPr>
        <w:t xml:space="preserve">FSANZ used the assumptions from Table 3 to produce cost estimates for implementing the FHT tool. </w:t>
      </w:r>
      <w:r>
        <w:rPr>
          <w:lang w:eastAsia="en-AU"/>
        </w:rPr>
        <w:t xml:space="preserve">However, businesses have already been encouraged to undertake this training voluntarily in a number of jurisdictions. Three different scenarios </w:t>
      </w:r>
      <w:r w:rsidRPr="48861835">
        <w:rPr>
          <w:lang w:eastAsia="en-AU"/>
        </w:rPr>
        <w:t xml:space="preserve">were </w:t>
      </w:r>
      <w:r>
        <w:rPr>
          <w:lang w:eastAsia="en-AU"/>
        </w:rPr>
        <w:t xml:space="preserve">developed to reflect potential voluntary uptake of this training. </w:t>
      </w:r>
      <w:r w:rsidRPr="001B6656">
        <w:rPr>
          <w:lang w:eastAsia="en-AU"/>
        </w:rPr>
        <w:t xml:space="preserve">These estimates are provided in Table 4 and </w:t>
      </w:r>
      <w:r>
        <w:rPr>
          <w:lang w:eastAsia="en-AU"/>
        </w:rPr>
        <w:t xml:space="preserve">were </w:t>
      </w:r>
      <w:r w:rsidRPr="001B6656">
        <w:rPr>
          <w:lang w:eastAsia="en-AU"/>
        </w:rPr>
        <w:t>used in the regulatory analysis of the intervention.</w:t>
      </w:r>
    </w:p>
    <w:p w14:paraId="1C542A0D" w14:textId="77777777" w:rsidR="00CB7716" w:rsidRPr="008F342F" w:rsidRDefault="00CB7716" w:rsidP="00CB7716">
      <w:pPr>
        <w:pStyle w:val="FSTableFigureHeading"/>
        <w:rPr>
          <w:sz w:val="20"/>
        </w:rPr>
      </w:pPr>
      <w:r w:rsidRPr="008F342F">
        <w:rPr>
          <w:sz w:val="20"/>
        </w:rPr>
        <w:t xml:space="preserve"> Table </w:t>
      </w:r>
      <w:r>
        <w:rPr>
          <w:sz w:val="20"/>
        </w:rPr>
        <w:t>4</w:t>
      </w:r>
      <w:r w:rsidRPr="008F342F">
        <w:rPr>
          <w:sz w:val="20"/>
        </w:rPr>
        <w:t xml:space="preserve">: FSANZ cost estimates of implementing the FHT </w:t>
      </w:r>
      <w:r>
        <w:rPr>
          <w:sz w:val="20"/>
        </w:rPr>
        <w:t>tool,</w:t>
      </w:r>
      <w:r w:rsidRPr="008F342F">
        <w:rPr>
          <w:sz w:val="20"/>
        </w:rPr>
        <w:t xml:space="preserve"> both upfront and ongoing</w:t>
      </w:r>
    </w:p>
    <w:tbl>
      <w:tblPr>
        <w:tblStyle w:val="GridTable4-Accent6"/>
        <w:tblW w:w="9067" w:type="dxa"/>
        <w:tblLook w:val="04A0" w:firstRow="1" w:lastRow="0" w:firstColumn="1" w:lastColumn="0" w:noHBand="0" w:noVBand="1"/>
      </w:tblPr>
      <w:tblGrid>
        <w:gridCol w:w="3539"/>
        <w:gridCol w:w="2410"/>
        <w:gridCol w:w="3118"/>
      </w:tblGrid>
      <w:tr w:rsidR="00CB7716" w:rsidRPr="001B6656" w14:paraId="5C760B95" w14:textId="77777777" w:rsidTr="00DE0E1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3DDE7D2" w14:textId="77777777" w:rsidR="00CB7716" w:rsidRPr="001B6656" w:rsidRDefault="00CB7716" w:rsidP="00CB7716">
            <w:pPr>
              <w:jc w:val="center"/>
              <w:rPr>
                <w:rFonts w:ascii="Calibri" w:eastAsia="Times New Roman" w:hAnsi="Calibri" w:cs="Calibri"/>
                <w:color w:val="000000"/>
                <w:lang w:eastAsia="en-GB"/>
              </w:rPr>
            </w:pPr>
            <w:r w:rsidRPr="001B6656">
              <w:rPr>
                <w:rFonts w:ascii="Calibri" w:eastAsia="Times New Roman" w:hAnsi="Calibri" w:cs="Calibri"/>
                <w:color w:val="000000"/>
                <w:lang w:eastAsia="en-GB"/>
              </w:rPr>
              <w:t>FHT per business</w:t>
            </w:r>
          </w:p>
        </w:tc>
        <w:tc>
          <w:tcPr>
            <w:tcW w:w="2410" w:type="dxa"/>
            <w:noWrap/>
            <w:hideMark/>
          </w:tcPr>
          <w:p w14:paraId="53135ED8" w14:textId="77777777" w:rsidR="00CB7716" w:rsidRPr="001B6656"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Upfront ($</w:t>
            </w:r>
            <w:r w:rsidRPr="001B6656">
              <w:rPr>
                <w:rFonts w:ascii="Calibri" w:eastAsia="Times New Roman" w:hAnsi="Calibri" w:cs="Calibri"/>
                <w:color w:val="000000"/>
                <w:lang w:eastAsia="en-GB"/>
              </w:rPr>
              <w:t>)</w:t>
            </w:r>
          </w:p>
        </w:tc>
        <w:tc>
          <w:tcPr>
            <w:tcW w:w="3118" w:type="dxa"/>
            <w:noWrap/>
            <w:hideMark/>
          </w:tcPr>
          <w:p w14:paraId="292A7277" w14:textId="77777777" w:rsidR="00CB7716" w:rsidRPr="001B6656"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 xml:space="preserve">Ongoing ($ </w:t>
            </w:r>
            <w:proofErr w:type="spellStart"/>
            <w:r>
              <w:rPr>
                <w:rFonts w:ascii="Calibri" w:eastAsia="Times New Roman" w:hAnsi="Calibri" w:cs="Calibri"/>
                <w:color w:val="000000"/>
                <w:lang w:eastAsia="en-GB"/>
              </w:rPr>
              <w:t>p.a</w:t>
            </w:r>
            <w:proofErr w:type="spellEnd"/>
            <w:r w:rsidRPr="001B6656">
              <w:rPr>
                <w:rFonts w:ascii="Calibri" w:eastAsia="Times New Roman" w:hAnsi="Calibri" w:cs="Calibri"/>
                <w:color w:val="000000"/>
                <w:lang w:eastAsia="en-GB"/>
              </w:rPr>
              <w:t>)</w:t>
            </w:r>
          </w:p>
        </w:tc>
      </w:tr>
      <w:tr w:rsidR="00CB7716" w:rsidRPr="001B6656" w14:paraId="52FD95F9" w14:textId="77777777" w:rsidTr="00DE0E1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9" w:type="dxa"/>
            <w:noWrap/>
          </w:tcPr>
          <w:p w14:paraId="37A7307E" w14:textId="77777777" w:rsidR="00CB7716" w:rsidRPr="007F5AD5" w:rsidRDefault="00CB7716" w:rsidP="00CB7716">
            <w:pPr>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1: low uptake (0%)</w:t>
            </w:r>
          </w:p>
        </w:tc>
        <w:tc>
          <w:tcPr>
            <w:tcW w:w="2410" w:type="dxa"/>
            <w:noWrap/>
          </w:tcPr>
          <w:p w14:paraId="23FC11B0" w14:textId="77777777" w:rsidR="00CB7716" w:rsidRPr="001B6656"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224</w:t>
            </w:r>
          </w:p>
        </w:tc>
        <w:tc>
          <w:tcPr>
            <w:tcW w:w="3118" w:type="dxa"/>
            <w:noWrap/>
          </w:tcPr>
          <w:p w14:paraId="183F6475" w14:textId="77777777" w:rsidR="00CB7716" w:rsidRPr="001B6656"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90</w:t>
            </w:r>
          </w:p>
        </w:tc>
      </w:tr>
      <w:tr w:rsidR="00CB7716" w:rsidRPr="001B6656" w14:paraId="7D682522" w14:textId="77777777" w:rsidTr="00DE0E16">
        <w:trPr>
          <w:trHeight w:val="415"/>
        </w:trPr>
        <w:tc>
          <w:tcPr>
            <w:cnfStyle w:val="001000000000" w:firstRow="0" w:lastRow="0" w:firstColumn="1" w:lastColumn="0" w:oddVBand="0" w:evenVBand="0" w:oddHBand="0" w:evenHBand="0" w:firstRowFirstColumn="0" w:firstRowLastColumn="0" w:lastRowFirstColumn="0" w:lastRowLastColumn="0"/>
            <w:tcW w:w="3539" w:type="dxa"/>
            <w:noWrap/>
          </w:tcPr>
          <w:p w14:paraId="656F5782" w14:textId="77777777" w:rsidR="00CB7716" w:rsidRPr="007F5AD5" w:rsidRDefault="00CB7716" w:rsidP="00CB7716">
            <w:pPr>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2: medium uptake (10%)</w:t>
            </w:r>
          </w:p>
        </w:tc>
        <w:tc>
          <w:tcPr>
            <w:tcW w:w="2410" w:type="dxa"/>
            <w:noWrap/>
          </w:tcPr>
          <w:p w14:paraId="7B7CFF33" w14:textId="77777777" w:rsidR="00CB7716" w:rsidRPr="001B6656"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202</w:t>
            </w:r>
          </w:p>
        </w:tc>
        <w:tc>
          <w:tcPr>
            <w:tcW w:w="3118" w:type="dxa"/>
            <w:noWrap/>
          </w:tcPr>
          <w:p w14:paraId="055733BA" w14:textId="77777777" w:rsidR="00CB7716" w:rsidRPr="001B6656"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81</w:t>
            </w:r>
          </w:p>
        </w:tc>
      </w:tr>
      <w:tr w:rsidR="00CB7716" w:rsidRPr="00373F1A" w14:paraId="7DD5BCE2" w14:textId="77777777" w:rsidTr="00DE0E16">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9" w:type="dxa"/>
            <w:noWrap/>
          </w:tcPr>
          <w:p w14:paraId="1F657CE5" w14:textId="77777777" w:rsidR="00CB7716" w:rsidRPr="007F5AD5" w:rsidRDefault="00CB7716" w:rsidP="00CB7716">
            <w:pPr>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3: high uptake (20%)</w:t>
            </w:r>
          </w:p>
        </w:tc>
        <w:tc>
          <w:tcPr>
            <w:tcW w:w="2410" w:type="dxa"/>
            <w:noWrap/>
          </w:tcPr>
          <w:p w14:paraId="13751444" w14:textId="77777777" w:rsidR="00CB7716" w:rsidRPr="001B6656"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179</w:t>
            </w:r>
          </w:p>
        </w:tc>
        <w:tc>
          <w:tcPr>
            <w:tcW w:w="3118" w:type="dxa"/>
            <w:noWrap/>
          </w:tcPr>
          <w:p w14:paraId="0D973B97" w14:textId="77777777" w:rsidR="00CB7716" w:rsidRPr="001B6656"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72</w:t>
            </w:r>
          </w:p>
        </w:tc>
      </w:tr>
    </w:tbl>
    <w:p w14:paraId="57BBD052" w14:textId="77777777" w:rsidR="0000604C" w:rsidRDefault="0000604C" w:rsidP="0000604C">
      <w:pPr>
        <w:spacing w:after="240"/>
      </w:pPr>
      <w:bookmarkStart w:id="378" w:name="_Toc107412719"/>
    </w:p>
    <w:p w14:paraId="0BBC30AD" w14:textId="6BB9F368" w:rsidR="00CB7716" w:rsidRPr="0000604C" w:rsidRDefault="00CB7716" w:rsidP="0025246D">
      <w:pPr>
        <w:pStyle w:val="Heading4"/>
        <w:numPr>
          <w:ilvl w:val="0"/>
          <w:numId w:val="0"/>
        </w:numPr>
        <w:ind w:left="864" w:hanging="864"/>
      </w:pPr>
      <w:r w:rsidRPr="0000604C">
        <w:t>Evidence to substantiate food safety management (E)</w:t>
      </w:r>
      <w:bookmarkEnd w:id="378"/>
    </w:p>
    <w:p w14:paraId="4DA41904" w14:textId="77777777" w:rsidR="00CB7716" w:rsidRDefault="00CB7716" w:rsidP="0000604C">
      <w:pPr>
        <w:spacing w:after="240"/>
        <w:rPr>
          <w:lang w:eastAsia="en-AU"/>
        </w:rPr>
      </w:pPr>
      <w:r w:rsidRPr="00373F1A">
        <w:rPr>
          <w:lang w:eastAsia="en-AU"/>
        </w:rPr>
        <w:t xml:space="preserve">Implementing </w:t>
      </w:r>
      <w:r>
        <w:rPr>
          <w:lang w:eastAsia="en-AU"/>
        </w:rPr>
        <w:t>this proposed tool</w:t>
      </w:r>
      <w:r w:rsidRPr="00373F1A">
        <w:rPr>
          <w:lang w:eastAsia="en-AU"/>
        </w:rPr>
        <w:t xml:space="preserve"> involves identifying processes that will require </w:t>
      </w:r>
      <w:r>
        <w:rPr>
          <w:lang w:eastAsia="en-AU"/>
        </w:rPr>
        <w:t>evidence to be kept,</w:t>
      </w:r>
      <w:r w:rsidRPr="00373F1A">
        <w:rPr>
          <w:lang w:eastAsia="en-AU"/>
        </w:rPr>
        <w:t xml:space="preserve"> developing a system (such as </w:t>
      </w:r>
      <w:r>
        <w:rPr>
          <w:lang w:eastAsia="en-AU"/>
        </w:rPr>
        <w:t>a template–</w:t>
      </w:r>
      <w:r w:rsidRPr="00373F1A">
        <w:rPr>
          <w:lang w:eastAsia="en-AU"/>
        </w:rPr>
        <w:t>these are assumed to be freely available through food regulatory agencies)</w:t>
      </w:r>
      <w:r>
        <w:rPr>
          <w:lang w:eastAsia="en-AU"/>
        </w:rPr>
        <w:t>,</w:t>
      </w:r>
      <w:r w:rsidRPr="00373F1A">
        <w:rPr>
          <w:lang w:eastAsia="en-AU"/>
        </w:rPr>
        <w:t xml:space="preserve"> training staff</w:t>
      </w:r>
      <w:r>
        <w:rPr>
          <w:lang w:eastAsia="en-AU"/>
        </w:rPr>
        <w:t>,</w:t>
      </w:r>
      <w:r w:rsidRPr="00373F1A">
        <w:rPr>
          <w:lang w:eastAsia="en-AU"/>
        </w:rPr>
        <w:t xml:space="preserve"> and ongoing labour/time c</w:t>
      </w:r>
      <w:r>
        <w:rPr>
          <w:lang w:eastAsia="en-AU"/>
        </w:rPr>
        <w:t>osts to create the evidence</w:t>
      </w:r>
      <w:r w:rsidRPr="00373F1A">
        <w:rPr>
          <w:lang w:eastAsia="en-AU"/>
        </w:rPr>
        <w:t xml:space="preserve">. </w:t>
      </w:r>
    </w:p>
    <w:p w14:paraId="2B6082D3" w14:textId="70A1455D" w:rsidR="00CB7716" w:rsidRDefault="00CB7716" w:rsidP="0000604C">
      <w:pPr>
        <w:spacing w:after="240"/>
      </w:pPr>
      <w:r>
        <w:t xml:space="preserve">Determining costs and benefits of implementing an E requirement was challenging, as it is a new approach. The proposed requirement is intended to be a tool that lies between the baseline </w:t>
      </w:r>
      <w:r w:rsidDel="00B93C34">
        <w:t>GHPs</w:t>
      </w:r>
      <w:r>
        <w:t xml:space="preserve"> (Good Hygienic Practices) in Standard 3.2.2 and the HACCP approach of a food safety program (FSP). </w:t>
      </w:r>
    </w:p>
    <w:p w14:paraId="3087A05C" w14:textId="77777777" w:rsidR="00CB7716" w:rsidRDefault="00CB7716" w:rsidP="0000604C">
      <w:pPr>
        <w:spacing w:after="240"/>
      </w:pPr>
      <w:r>
        <w:t>The costs and benefits of implementing FSPs have been investigated in two complementary studies. The National Risk Validation Project (2002) included a cost–benefit analysis of FSPs in five high-risk food business sectors, including the catering sector. In addition, the Department of Health and Aging commissioned an assessment of food safety management costs, benefits and alternatives in these sectors (Allen Consulting Group</w:t>
      </w:r>
      <w:r w:rsidRPr="00D56FE7">
        <w:rPr>
          <w:rFonts w:cs="Arial"/>
        </w:rPr>
        <w:t xml:space="preserve">, </w:t>
      </w:r>
      <w:r w:rsidRPr="00052BFA">
        <w:rPr>
          <w:rFonts w:cs="Arial"/>
        </w:rPr>
        <w:t>2002</w:t>
      </w:r>
      <w:r>
        <w:t>).</w:t>
      </w:r>
    </w:p>
    <w:p w14:paraId="5E1FBCBE" w14:textId="77777777" w:rsidR="00CB7716" w:rsidRDefault="00CB7716" w:rsidP="0000604C">
      <w:pPr>
        <w:rPr>
          <w:b/>
        </w:rPr>
      </w:pPr>
      <w:r>
        <w:rPr>
          <w:b/>
        </w:rPr>
        <w:t>Benefits</w:t>
      </w:r>
    </w:p>
    <w:p w14:paraId="02989E44" w14:textId="77777777" w:rsidR="00CB7716" w:rsidRDefault="00CB7716" w:rsidP="0000604C">
      <w:pPr>
        <w:spacing w:after="240"/>
      </w:pPr>
      <w:r>
        <w:t>In effect, the Allen report (2002) examined where foodborne illness could be reduced if certain deficiencies in skills, knowledge and record keeping were addressed. While having a FSP would not avoid all problems, it was assumed to have a positive effect on businesses’ food safety culture and food safety outcomes.</w:t>
      </w:r>
    </w:p>
    <w:p w14:paraId="33FC56FE" w14:textId="77777777" w:rsidR="00CB7716" w:rsidRDefault="00CB7716" w:rsidP="0000604C">
      <w:pPr>
        <w:spacing w:after="240"/>
      </w:pPr>
      <w:r>
        <w:rPr>
          <w:lang w:eastAsia="en-AU"/>
        </w:rPr>
        <w:t>The Allen report recommended that behavioural changes by businesses be reinforced by a comprehensive enforcement strategy. Requirements for keeping evidence, such as a record, were an important component of an enforcement strategy. The report also states that without business documentation, it would be significantly more difficult to detect non-compliance and evaluate business performance. While the context referred to enforcement, F</w:t>
      </w:r>
      <w:r>
        <w:t xml:space="preserve">SANZ considers that keeping evidence of food safety management can also assist businesses with </w:t>
      </w:r>
      <w:r>
        <w:lastRenderedPageBreak/>
        <w:t xml:space="preserve">monitoring potential hazards in their operations and detecting if safety parameters are breached. It can also reinforce food handler awareness of potential risks, while verifying controls are working as intended. </w:t>
      </w:r>
    </w:p>
    <w:p w14:paraId="72A22245" w14:textId="34ACEDF1" w:rsidR="00CB7716" w:rsidRDefault="00CB7716" w:rsidP="0000604C">
      <w:pPr>
        <w:spacing w:after="240"/>
      </w:pPr>
      <w:r>
        <w:t>FSANZ considers other noted benefits</w:t>
      </w:r>
      <w:r>
        <w:rPr>
          <w:rStyle w:val="FootnoteReference"/>
        </w:rPr>
        <w:footnoteReference w:id="40"/>
      </w:r>
      <w:r>
        <w:t xml:space="preserve"> would be experienced by businesses who make a record or have other evidence of food safety management. Tangible benefits include production savings, reduced wastage and reduced maintenance. Intangible benefits include improved understanding of their business, better management practices and supplier standards, relationships with environmental health officers and reduced overall stress. </w:t>
      </w:r>
    </w:p>
    <w:p w14:paraId="5109934C" w14:textId="4732084D" w:rsidR="00CB7716" w:rsidRDefault="00CB7716" w:rsidP="0000604C">
      <w:pPr>
        <w:rPr>
          <w:b/>
        </w:rPr>
      </w:pPr>
      <w:r>
        <w:rPr>
          <w:b/>
        </w:rPr>
        <w:t>Costs</w:t>
      </w:r>
    </w:p>
    <w:p w14:paraId="7764A98A" w14:textId="77777777" w:rsidR="00CB7716" w:rsidRPr="00373F1A" w:rsidRDefault="00CB7716" w:rsidP="0000604C">
      <w:pPr>
        <w:spacing w:after="240"/>
        <w:rPr>
          <w:lang w:eastAsia="en-AU"/>
        </w:rPr>
      </w:pPr>
      <w:r>
        <w:t>We estimated the costs of E by making reasonable estimates of the time it will take to develop a system, train staff to use the system and use that system in day-to-day operations.</w:t>
      </w:r>
    </w:p>
    <w:p w14:paraId="6BC918A7" w14:textId="77777777" w:rsidR="00CB7716" w:rsidRPr="0000604C" w:rsidRDefault="00CB7716" w:rsidP="0000604C">
      <w:pPr>
        <w:rPr>
          <w:i/>
          <w:lang w:eastAsia="en-AU"/>
        </w:rPr>
      </w:pPr>
      <w:r w:rsidRPr="0000604C">
        <w:rPr>
          <w:i/>
          <w:lang w:eastAsia="en-AU"/>
        </w:rPr>
        <w:t>Upfront implementation</w:t>
      </w:r>
    </w:p>
    <w:p w14:paraId="1CC3B2E2" w14:textId="6DD71123" w:rsidR="00CB7716" w:rsidRPr="00373F1A" w:rsidRDefault="00CB7716" w:rsidP="0000604C">
      <w:pPr>
        <w:spacing w:after="240"/>
        <w:rPr>
          <w:lang w:eastAsia="en-AU"/>
        </w:rPr>
      </w:pPr>
      <w:r w:rsidRPr="1176F9AC">
        <w:rPr>
          <w:lang w:eastAsia="en-AU"/>
        </w:rPr>
        <w:t>Implementation costs are broadly time-based and were calculated at a rate of $</w:t>
      </w:r>
      <w:r w:rsidR="64A3DBA3" w:rsidRPr="1176F9AC">
        <w:rPr>
          <w:lang w:eastAsia="en-AU"/>
        </w:rPr>
        <w:t>23</w:t>
      </w:r>
      <w:r w:rsidRPr="1176F9AC">
        <w:rPr>
          <w:lang w:eastAsia="en-AU"/>
        </w:rPr>
        <w:t xml:space="preserve"> per hour. Upfront costs include the development of the system and the training of staff. </w:t>
      </w:r>
    </w:p>
    <w:p w14:paraId="1AB25774" w14:textId="222EB24E" w:rsidR="00CB7716" w:rsidRPr="00373F1A" w:rsidRDefault="00CB7716" w:rsidP="0000604C">
      <w:pPr>
        <w:spacing w:after="240"/>
        <w:rPr>
          <w:rFonts w:cs="Calibri"/>
          <w:lang w:val="en-AU"/>
        </w:rPr>
      </w:pPr>
      <w:r w:rsidRPr="00373F1A">
        <w:rPr>
          <w:rFonts w:cs="Calibri"/>
          <w:lang w:val="en-AU"/>
        </w:rPr>
        <w:t xml:space="preserve">Under the proposed </w:t>
      </w:r>
      <w:r>
        <w:rPr>
          <w:rFonts w:cs="Calibri"/>
          <w:lang w:val="en-AU"/>
        </w:rPr>
        <w:t>E</w:t>
      </w:r>
      <w:r w:rsidRPr="00373F1A">
        <w:rPr>
          <w:rFonts w:cs="Calibri"/>
          <w:lang w:val="en-AU"/>
        </w:rPr>
        <w:t xml:space="preserve"> tool, businesses would not need to conduct a hazard analysis. They instead need to identify if the business </w:t>
      </w:r>
      <w:r>
        <w:rPr>
          <w:rFonts w:cs="Calibri"/>
          <w:lang w:val="en-AU"/>
        </w:rPr>
        <w:t>does</w:t>
      </w:r>
      <w:r w:rsidRPr="00373F1A">
        <w:rPr>
          <w:rFonts w:cs="Calibri"/>
          <w:lang w:val="en-AU"/>
        </w:rPr>
        <w:t xml:space="preserve"> any of the specified key food handling processes outlined in the draft standard. The critical control points and limits for these processes would be provided through the freely available templates. </w:t>
      </w:r>
    </w:p>
    <w:p w14:paraId="5CE45700" w14:textId="0A8C36F1" w:rsidR="00CB7716" w:rsidRDefault="00CB7716" w:rsidP="0000604C">
      <w:pPr>
        <w:spacing w:after="240"/>
        <w:rPr>
          <w:b/>
          <w:sz w:val="20"/>
        </w:rPr>
      </w:pPr>
      <w:r w:rsidRPr="00373F1A">
        <w:rPr>
          <w:lang w:eastAsia="en-AU"/>
        </w:rPr>
        <w:t xml:space="preserve">The various assumptions used to calculate cost of implementing the </w:t>
      </w:r>
      <w:r>
        <w:rPr>
          <w:lang w:eastAsia="en-AU"/>
        </w:rPr>
        <w:t>E</w:t>
      </w:r>
      <w:r w:rsidRPr="00373F1A">
        <w:rPr>
          <w:lang w:eastAsia="en-AU"/>
        </w:rPr>
        <w:t xml:space="preserve"> intervention for businesses </w:t>
      </w:r>
      <w:r>
        <w:rPr>
          <w:lang w:eastAsia="en-AU"/>
        </w:rPr>
        <w:t>are</w:t>
      </w:r>
      <w:r w:rsidRPr="00373F1A">
        <w:rPr>
          <w:lang w:eastAsia="en-AU"/>
        </w:rPr>
        <w:t xml:space="preserve"> shown in Table </w:t>
      </w:r>
      <w:r>
        <w:rPr>
          <w:lang w:eastAsia="en-AU"/>
        </w:rPr>
        <w:t>5</w:t>
      </w:r>
      <w:r w:rsidRPr="00373F1A">
        <w:rPr>
          <w:lang w:eastAsia="en-AU"/>
        </w:rPr>
        <w:t>.</w:t>
      </w:r>
    </w:p>
    <w:p w14:paraId="777F7767" w14:textId="46AC5922" w:rsidR="00CB7716" w:rsidRPr="003A5E9C" w:rsidRDefault="00CB7716" w:rsidP="00CB7716">
      <w:pPr>
        <w:pStyle w:val="Caption"/>
        <w:keepNext/>
        <w:rPr>
          <w:b/>
          <w:color w:val="auto"/>
          <w:sz w:val="20"/>
        </w:rPr>
      </w:pPr>
      <w:r w:rsidRPr="003A5E9C">
        <w:rPr>
          <w:b/>
          <w:color w:val="auto"/>
          <w:sz w:val="20"/>
        </w:rPr>
        <w:t>Table 5: Assumptions used to calculate cost of E</w:t>
      </w:r>
    </w:p>
    <w:tbl>
      <w:tblPr>
        <w:tblW w:w="5000" w:type="pct"/>
        <w:tblLook w:val="04A0" w:firstRow="1" w:lastRow="0" w:firstColumn="1" w:lastColumn="0" w:noHBand="0" w:noVBand="1"/>
      </w:tblPr>
      <w:tblGrid>
        <w:gridCol w:w="5525"/>
        <w:gridCol w:w="3535"/>
      </w:tblGrid>
      <w:tr w:rsidR="00CB7716" w:rsidRPr="00373F1A" w14:paraId="600873CA" w14:textId="77777777" w:rsidTr="00CB7716">
        <w:trPr>
          <w:trHeight w:val="345"/>
          <w:tblHeader/>
        </w:trPr>
        <w:tc>
          <w:tcPr>
            <w:tcW w:w="5000" w:type="pct"/>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003300"/>
            <w:hideMark/>
          </w:tcPr>
          <w:p w14:paraId="701490EB" w14:textId="77777777" w:rsidR="00CB7716" w:rsidRPr="00373F1A" w:rsidRDefault="00CB7716" w:rsidP="00CB7716">
            <w:pPr>
              <w:keepLines/>
              <w:jc w:val="center"/>
              <w:rPr>
                <w:rFonts w:ascii="Calibri" w:hAnsi="Calibri"/>
                <w:b/>
                <w:bCs/>
                <w:color w:val="F2F2F2"/>
                <w:sz w:val="26"/>
                <w:szCs w:val="26"/>
                <w:lang w:eastAsia="en-GB"/>
              </w:rPr>
            </w:pPr>
            <w:r w:rsidRPr="68C0CA2D">
              <w:rPr>
                <w:rFonts w:cs="Calibri"/>
                <w:lang w:val="en-AU"/>
              </w:rPr>
              <w:t xml:space="preserve"> </w:t>
            </w:r>
            <w:r w:rsidRPr="68C0CA2D">
              <w:rPr>
                <w:rFonts w:ascii="Calibri" w:hAnsi="Calibri"/>
                <w:b/>
                <w:bCs/>
                <w:color w:val="F2F2F2" w:themeColor="background1" w:themeShade="F2"/>
                <w:sz w:val="26"/>
                <w:szCs w:val="26"/>
                <w:lang w:eastAsia="en-GB"/>
              </w:rPr>
              <w:t>E costs and assumptions – implementation</w:t>
            </w:r>
          </w:p>
        </w:tc>
      </w:tr>
      <w:tr w:rsidR="00CB7716" w:rsidRPr="00373F1A" w14:paraId="09FF6DD6" w14:textId="77777777" w:rsidTr="00CB7716">
        <w:trPr>
          <w:trHeight w:val="274"/>
          <w:tblHeader/>
        </w:trPr>
        <w:tc>
          <w:tcPr>
            <w:tcW w:w="3049" w:type="pct"/>
            <w:tcBorders>
              <w:top w:val="nil"/>
              <w:left w:val="single" w:sz="4" w:space="0" w:color="000000" w:themeColor="text1"/>
              <w:bottom w:val="single" w:sz="4" w:space="0" w:color="000000" w:themeColor="text1"/>
              <w:right w:val="single" w:sz="4" w:space="0" w:color="000000" w:themeColor="text1"/>
            </w:tcBorders>
            <w:shd w:val="clear" w:color="auto" w:fill="EDEDED"/>
          </w:tcPr>
          <w:p w14:paraId="3F4F064B" w14:textId="77777777" w:rsidR="00CB7716" w:rsidRPr="00373F1A" w:rsidRDefault="00CB7716" w:rsidP="00CB7716">
            <w:pPr>
              <w:keepLines/>
              <w:rPr>
                <w:rFonts w:ascii="Calibri" w:hAnsi="Calibri"/>
                <w:color w:val="000000"/>
                <w:lang w:eastAsia="en-GB"/>
              </w:rPr>
            </w:pPr>
            <w:r>
              <w:rPr>
                <w:rFonts w:ascii="Calibri" w:hAnsi="Calibri"/>
                <w:color w:val="000000"/>
                <w:lang w:eastAsia="en-GB"/>
              </w:rPr>
              <w:t xml:space="preserve">FSS wage </w:t>
            </w:r>
          </w:p>
        </w:tc>
        <w:tc>
          <w:tcPr>
            <w:tcW w:w="1951" w:type="pct"/>
            <w:tcBorders>
              <w:top w:val="nil"/>
              <w:left w:val="nil"/>
              <w:bottom w:val="single" w:sz="4" w:space="0" w:color="000000" w:themeColor="text1"/>
              <w:right w:val="single" w:sz="4" w:space="0" w:color="000000" w:themeColor="text1"/>
            </w:tcBorders>
            <w:shd w:val="clear" w:color="auto" w:fill="EDEDED"/>
            <w:noWrap/>
          </w:tcPr>
          <w:p w14:paraId="55B13307"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$25.83 p/h (from award)</w:t>
            </w:r>
          </w:p>
        </w:tc>
      </w:tr>
      <w:tr w:rsidR="00CB7716" w:rsidRPr="00373F1A" w14:paraId="692ECFBB" w14:textId="77777777" w:rsidTr="00CB7716">
        <w:trPr>
          <w:trHeight w:val="274"/>
          <w:tblHeader/>
        </w:trPr>
        <w:tc>
          <w:tcPr>
            <w:tcW w:w="3049" w:type="pct"/>
            <w:tcBorders>
              <w:top w:val="nil"/>
              <w:left w:val="single" w:sz="4" w:space="0" w:color="000000" w:themeColor="text1"/>
              <w:bottom w:val="single" w:sz="4" w:space="0" w:color="000000" w:themeColor="text1"/>
              <w:right w:val="single" w:sz="4" w:space="0" w:color="000000" w:themeColor="text1"/>
            </w:tcBorders>
            <w:shd w:val="clear" w:color="auto" w:fill="EDEDED"/>
            <w:hideMark/>
          </w:tcPr>
          <w:p w14:paraId="27255980"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wage</w:t>
            </w:r>
          </w:p>
        </w:tc>
        <w:tc>
          <w:tcPr>
            <w:tcW w:w="1951" w:type="pct"/>
            <w:tcBorders>
              <w:top w:val="nil"/>
              <w:left w:val="nil"/>
              <w:bottom w:val="single" w:sz="4" w:space="0" w:color="000000" w:themeColor="text1"/>
              <w:right w:val="single" w:sz="4" w:space="0" w:color="000000" w:themeColor="text1"/>
            </w:tcBorders>
            <w:shd w:val="clear" w:color="auto" w:fill="EDEDED"/>
            <w:noWrap/>
            <w:hideMark/>
          </w:tcPr>
          <w:p w14:paraId="5EE74429"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$23</w:t>
            </w:r>
            <w:r>
              <w:rPr>
                <w:rFonts w:ascii="Calibri" w:hAnsi="Calibri"/>
                <w:color w:val="000000"/>
                <w:lang w:eastAsia="en-GB"/>
              </w:rPr>
              <w:t xml:space="preserve"> p/h</w:t>
            </w:r>
            <w:r w:rsidRPr="00373F1A">
              <w:rPr>
                <w:rFonts w:ascii="Calibri" w:hAnsi="Calibri"/>
                <w:color w:val="000000"/>
                <w:lang w:eastAsia="en-GB"/>
              </w:rPr>
              <w:t xml:space="preserve"> (from award)</w:t>
            </w:r>
          </w:p>
        </w:tc>
      </w:tr>
      <w:tr w:rsidR="00CB7716" w:rsidRPr="00373F1A" w14:paraId="7D0AD7BD" w14:textId="77777777" w:rsidTr="00CB7716">
        <w:trPr>
          <w:trHeight w:val="268"/>
          <w:tblHeader/>
        </w:trPr>
        <w:tc>
          <w:tcPr>
            <w:tcW w:w="3049" w:type="pct"/>
            <w:tcBorders>
              <w:top w:val="nil"/>
              <w:left w:val="single" w:sz="4" w:space="0" w:color="000000" w:themeColor="text1"/>
              <w:bottom w:val="single" w:sz="4" w:space="0" w:color="000000" w:themeColor="text1"/>
              <w:right w:val="single" w:sz="4" w:space="0" w:color="000000" w:themeColor="text1"/>
            </w:tcBorders>
            <w:shd w:val="clear" w:color="auto" w:fill="EDEDED"/>
            <w:hideMark/>
          </w:tcPr>
          <w:p w14:paraId="43E415EB"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Wage on costs</w:t>
            </w:r>
          </w:p>
        </w:tc>
        <w:tc>
          <w:tcPr>
            <w:tcW w:w="1951" w:type="pct"/>
            <w:tcBorders>
              <w:top w:val="nil"/>
              <w:left w:val="nil"/>
              <w:bottom w:val="single" w:sz="4" w:space="0" w:color="000000" w:themeColor="text1"/>
              <w:right w:val="single" w:sz="4" w:space="0" w:color="000000" w:themeColor="text1"/>
            </w:tcBorders>
            <w:shd w:val="clear" w:color="auto" w:fill="EDEDED"/>
            <w:noWrap/>
            <w:hideMark/>
          </w:tcPr>
          <w:p w14:paraId="2029C22C"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30</w:t>
            </w:r>
            <w:r w:rsidRPr="00373F1A">
              <w:rPr>
                <w:rFonts w:ascii="Calibri" w:hAnsi="Calibri"/>
                <w:color w:val="000000"/>
                <w:lang w:eastAsia="en-GB"/>
              </w:rPr>
              <w:t>%</w:t>
            </w:r>
          </w:p>
        </w:tc>
      </w:tr>
      <w:tr w:rsidR="00CB7716" w:rsidRPr="00373F1A" w14:paraId="1EAB7820" w14:textId="77777777" w:rsidTr="00CB7716">
        <w:trPr>
          <w:trHeight w:val="272"/>
          <w:tblHeader/>
        </w:trPr>
        <w:tc>
          <w:tcPr>
            <w:tcW w:w="3049"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EDEDED"/>
          </w:tcPr>
          <w:p w14:paraId="240371FC"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Number of food handler staff</w:t>
            </w:r>
          </w:p>
        </w:tc>
        <w:tc>
          <w:tcPr>
            <w:tcW w:w="1951" w:type="pct"/>
            <w:tcBorders>
              <w:top w:val="nil"/>
              <w:left w:val="nil"/>
              <w:bottom w:val="single" w:sz="4" w:space="0" w:color="auto"/>
              <w:right w:val="single" w:sz="4" w:space="0" w:color="000000" w:themeColor="text1"/>
            </w:tcBorders>
            <w:shd w:val="clear" w:color="auto" w:fill="EDEDED"/>
            <w:noWrap/>
          </w:tcPr>
          <w:p w14:paraId="3338A1FF"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5</w:t>
            </w:r>
            <w:r w:rsidRPr="00373F1A">
              <w:rPr>
                <w:rFonts w:ascii="Calibri" w:hAnsi="Calibri"/>
                <w:color w:val="000000"/>
                <w:lang w:eastAsia="en-GB"/>
              </w:rPr>
              <w:t xml:space="preserve"> people</w:t>
            </w:r>
          </w:p>
        </w:tc>
      </w:tr>
      <w:tr w:rsidR="00CB7716" w:rsidRPr="00373F1A" w14:paraId="1DA70532" w14:textId="77777777" w:rsidTr="00CB7716">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auto" w:fill="EDEDED"/>
          </w:tcPr>
          <w:p w14:paraId="332C17DA" w14:textId="77777777" w:rsidR="00CB7716" w:rsidRPr="00373F1A" w:rsidRDefault="00CB7716" w:rsidP="00CB7716">
            <w:pPr>
              <w:keepLines/>
              <w:rPr>
                <w:rFonts w:ascii="Calibri" w:hAnsi="Calibri"/>
                <w:color w:val="000000"/>
                <w:lang w:eastAsia="en-GB"/>
              </w:rPr>
            </w:pPr>
            <w:r>
              <w:rPr>
                <w:rFonts w:ascii="Calibri" w:hAnsi="Calibri"/>
                <w:color w:val="000000"/>
                <w:lang w:eastAsia="en-GB"/>
              </w:rPr>
              <w:t>Hours to develop documented system (category 1)</w:t>
            </w:r>
          </w:p>
        </w:tc>
        <w:tc>
          <w:tcPr>
            <w:tcW w:w="1951" w:type="pct"/>
            <w:tcBorders>
              <w:top w:val="single" w:sz="4" w:space="0" w:color="auto"/>
              <w:left w:val="single" w:sz="4" w:space="0" w:color="auto"/>
              <w:bottom w:val="single" w:sz="4" w:space="0" w:color="auto"/>
              <w:right w:val="single" w:sz="4" w:space="0" w:color="auto"/>
            </w:tcBorders>
            <w:shd w:val="clear" w:color="auto" w:fill="EDEDED"/>
            <w:noWrap/>
          </w:tcPr>
          <w:p w14:paraId="3D9BD0D3"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8</w:t>
            </w:r>
          </w:p>
        </w:tc>
      </w:tr>
      <w:tr w:rsidR="00CB7716" w:rsidRPr="00373F1A" w14:paraId="3FCF0D24" w14:textId="77777777" w:rsidTr="00CB7716">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auto" w:fill="EDEDED"/>
          </w:tcPr>
          <w:p w14:paraId="2B7F2123" w14:textId="77777777" w:rsidR="00CB7716" w:rsidRPr="00373F1A" w:rsidRDefault="00CB7716" w:rsidP="00CB7716">
            <w:pPr>
              <w:keepLines/>
              <w:rPr>
                <w:rFonts w:ascii="Calibri" w:hAnsi="Calibri"/>
                <w:color w:val="000000"/>
                <w:lang w:eastAsia="en-GB"/>
              </w:rPr>
            </w:pPr>
            <w:r>
              <w:rPr>
                <w:rFonts w:ascii="Calibri" w:hAnsi="Calibri"/>
                <w:color w:val="000000"/>
                <w:lang w:eastAsia="en-GB"/>
              </w:rPr>
              <w:t>Hours to develop documented system (category 2)</w:t>
            </w:r>
          </w:p>
        </w:tc>
        <w:tc>
          <w:tcPr>
            <w:tcW w:w="1951" w:type="pct"/>
            <w:tcBorders>
              <w:top w:val="single" w:sz="4" w:space="0" w:color="auto"/>
              <w:left w:val="single" w:sz="4" w:space="0" w:color="auto"/>
              <w:bottom w:val="single" w:sz="4" w:space="0" w:color="auto"/>
              <w:right w:val="single" w:sz="4" w:space="0" w:color="auto"/>
            </w:tcBorders>
            <w:shd w:val="clear" w:color="auto" w:fill="EDEDED"/>
            <w:noWrap/>
          </w:tcPr>
          <w:p w14:paraId="47270A9D"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6</w:t>
            </w:r>
          </w:p>
        </w:tc>
      </w:tr>
      <w:tr w:rsidR="00CB7716" w:rsidRPr="00373F1A" w14:paraId="71EE35C0" w14:textId="77777777" w:rsidTr="00CB7716">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auto" w:fill="EDEDED"/>
          </w:tcPr>
          <w:p w14:paraId="0537EB55" w14:textId="77777777" w:rsidR="00CB7716" w:rsidRPr="00373F1A" w:rsidRDefault="00CB7716" w:rsidP="00CB7716">
            <w:pPr>
              <w:keepLines/>
              <w:rPr>
                <w:rFonts w:ascii="Calibri" w:hAnsi="Calibri"/>
                <w:color w:val="000000"/>
                <w:lang w:eastAsia="en-GB"/>
              </w:rPr>
            </w:pPr>
            <w:r>
              <w:rPr>
                <w:rFonts w:ascii="Calibri" w:hAnsi="Calibri"/>
                <w:color w:val="000000"/>
                <w:lang w:eastAsia="en-GB"/>
              </w:rPr>
              <w:t>Hours to train each staff member to use the system</w:t>
            </w:r>
          </w:p>
        </w:tc>
        <w:tc>
          <w:tcPr>
            <w:tcW w:w="1951" w:type="pct"/>
            <w:tcBorders>
              <w:top w:val="single" w:sz="4" w:space="0" w:color="auto"/>
              <w:left w:val="single" w:sz="4" w:space="0" w:color="auto"/>
              <w:bottom w:val="single" w:sz="4" w:space="0" w:color="auto"/>
              <w:right w:val="single" w:sz="4" w:space="0" w:color="auto"/>
            </w:tcBorders>
            <w:shd w:val="clear" w:color="auto" w:fill="EDEDED"/>
            <w:noWrap/>
          </w:tcPr>
          <w:p w14:paraId="4D4BD9C5" w14:textId="77777777" w:rsidR="00CB7716" w:rsidRPr="00373F1A" w:rsidRDefault="00CB7716" w:rsidP="00CB7716">
            <w:pPr>
              <w:keepLines/>
              <w:jc w:val="center"/>
              <w:rPr>
                <w:rFonts w:ascii="Calibri" w:hAnsi="Calibri"/>
                <w:color w:val="000000"/>
                <w:lang w:eastAsia="en-GB"/>
              </w:rPr>
            </w:pPr>
            <w:r>
              <w:rPr>
                <w:rFonts w:ascii="Calibri" w:hAnsi="Calibri"/>
                <w:color w:val="000000"/>
                <w:lang w:eastAsia="en-GB"/>
              </w:rPr>
              <w:t>0.5</w:t>
            </w:r>
          </w:p>
        </w:tc>
      </w:tr>
    </w:tbl>
    <w:p w14:paraId="5A910920" w14:textId="77777777" w:rsidR="00CB7716" w:rsidRPr="00373F1A" w:rsidRDefault="00CB7716" w:rsidP="00CB7716">
      <w:pPr>
        <w:rPr>
          <w:lang w:eastAsia="en-AU"/>
        </w:rPr>
      </w:pPr>
    </w:p>
    <w:p w14:paraId="0917EC91" w14:textId="77777777" w:rsidR="00CB7716" w:rsidRDefault="00CB7716" w:rsidP="0000604C">
      <w:pPr>
        <w:spacing w:after="240"/>
        <w:rPr>
          <w:lang w:eastAsia="en-AU"/>
        </w:rPr>
      </w:pPr>
      <w:r>
        <w:rPr>
          <w:lang w:eastAsia="en-AU"/>
        </w:rPr>
        <w:t>B</w:t>
      </w:r>
      <w:r w:rsidRPr="00373F1A">
        <w:rPr>
          <w:lang w:eastAsia="en-AU"/>
        </w:rPr>
        <w:t xml:space="preserve">ased on assumptions in Table </w:t>
      </w:r>
      <w:r>
        <w:rPr>
          <w:lang w:eastAsia="en-AU"/>
        </w:rPr>
        <w:t>5 (e.g. current wage costs)</w:t>
      </w:r>
      <w:r w:rsidRPr="00373F1A">
        <w:rPr>
          <w:lang w:eastAsia="en-AU"/>
        </w:rPr>
        <w:t xml:space="preserve">, FSANZ estimated the cost of implementing </w:t>
      </w:r>
      <w:r>
        <w:rPr>
          <w:lang w:eastAsia="en-AU"/>
        </w:rPr>
        <w:t>the E tool in T</w:t>
      </w:r>
      <w:r w:rsidRPr="00373F1A">
        <w:rPr>
          <w:lang w:eastAsia="en-AU"/>
        </w:rPr>
        <w:t xml:space="preserve">able </w:t>
      </w:r>
      <w:r>
        <w:rPr>
          <w:lang w:eastAsia="en-AU"/>
        </w:rPr>
        <w:t>6</w:t>
      </w:r>
      <w:r w:rsidRPr="00373F1A">
        <w:rPr>
          <w:lang w:eastAsia="en-AU"/>
        </w:rPr>
        <w:t>.</w:t>
      </w:r>
    </w:p>
    <w:p w14:paraId="75DB2547" w14:textId="77777777" w:rsidR="00CB7716" w:rsidRPr="008F342F" w:rsidRDefault="00CB7716" w:rsidP="00CB7716">
      <w:pPr>
        <w:pStyle w:val="FSTableFigureHeading"/>
        <w:rPr>
          <w:sz w:val="20"/>
        </w:rPr>
      </w:pPr>
      <w:r w:rsidRPr="008F342F">
        <w:rPr>
          <w:sz w:val="20"/>
        </w:rPr>
        <w:t>Table 6: FSANZ cost estimates of implementing the E tool by business category</w:t>
      </w:r>
    </w:p>
    <w:tbl>
      <w:tblPr>
        <w:tblStyle w:val="GridTable4-Accent6"/>
        <w:tblW w:w="5000" w:type="pct"/>
        <w:tblLook w:val="04A0" w:firstRow="1" w:lastRow="0" w:firstColumn="1" w:lastColumn="0" w:noHBand="0" w:noVBand="1"/>
      </w:tblPr>
      <w:tblGrid>
        <w:gridCol w:w="2364"/>
        <w:gridCol w:w="2815"/>
        <w:gridCol w:w="1701"/>
        <w:gridCol w:w="2180"/>
      </w:tblGrid>
      <w:tr w:rsidR="00CB7716" w:rsidRPr="00373F1A" w14:paraId="09545C4A" w14:textId="77777777" w:rsidTr="00DE0E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7332143E" w14:textId="77777777" w:rsidR="00CB7716" w:rsidRPr="00373F1A" w:rsidRDefault="00CB7716" w:rsidP="00CB7716">
            <w:pPr>
              <w:rPr>
                <w:rFonts w:ascii="Calibri" w:hAnsi="Calibri" w:cs="Calibri"/>
                <w:color w:val="000000"/>
              </w:rPr>
            </w:pPr>
            <w:r w:rsidRPr="00373F1A">
              <w:rPr>
                <w:rFonts w:ascii="Calibri" w:hAnsi="Calibri" w:cs="Calibri"/>
                <w:color w:val="000000"/>
              </w:rPr>
              <w:t>Category</w:t>
            </w:r>
          </w:p>
        </w:tc>
        <w:tc>
          <w:tcPr>
            <w:tcW w:w="1553" w:type="pct"/>
            <w:noWrap/>
            <w:hideMark/>
          </w:tcPr>
          <w:p w14:paraId="633F8DAD"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Development ($)</w:t>
            </w:r>
          </w:p>
        </w:tc>
        <w:tc>
          <w:tcPr>
            <w:tcW w:w="939" w:type="pct"/>
            <w:noWrap/>
            <w:hideMark/>
          </w:tcPr>
          <w:p w14:paraId="182B0921"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Training ($)</w:t>
            </w:r>
          </w:p>
        </w:tc>
        <w:tc>
          <w:tcPr>
            <w:tcW w:w="1203" w:type="pct"/>
            <w:noWrap/>
            <w:hideMark/>
          </w:tcPr>
          <w:p w14:paraId="460A0450"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Total per business ($)</w:t>
            </w:r>
          </w:p>
        </w:tc>
      </w:tr>
      <w:tr w:rsidR="00CB7716" w:rsidRPr="00373F1A" w14:paraId="1415933B" w14:textId="77777777" w:rsidTr="00DE0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04653397" w14:textId="77777777" w:rsidR="00CB7716" w:rsidRPr="007F5AD5" w:rsidRDefault="00CB7716" w:rsidP="00CB7716">
            <w:pPr>
              <w:rPr>
                <w:rFonts w:ascii="Calibri" w:hAnsi="Calibri" w:cs="Calibri"/>
                <w:b w:val="0"/>
                <w:color w:val="000000"/>
              </w:rPr>
            </w:pPr>
            <w:r w:rsidRPr="007F5AD5">
              <w:rPr>
                <w:rFonts w:ascii="Calibri" w:hAnsi="Calibri" w:cs="Calibri"/>
                <w:b w:val="0"/>
                <w:color w:val="000000"/>
              </w:rPr>
              <w:t>Category 1 business</w:t>
            </w:r>
          </w:p>
        </w:tc>
        <w:tc>
          <w:tcPr>
            <w:tcW w:w="1553" w:type="pct"/>
            <w:noWrap/>
            <w:hideMark/>
          </w:tcPr>
          <w:p w14:paraId="3978DDE1"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248</w:t>
            </w:r>
          </w:p>
        </w:tc>
        <w:tc>
          <w:tcPr>
            <w:tcW w:w="939" w:type="pct"/>
            <w:noWrap/>
            <w:hideMark/>
          </w:tcPr>
          <w:p w14:paraId="6CE4D927"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75</w:t>
            </w:r>
          </w:p>
        </w:tc>
        <w:tc>
          <w:tcPr>
            <w:tcW w:w="1203" w:type="pct"/>
            <w:noWrap/>
            <w:hideMark/>
          </w:tcPr>
          <w:p w14:paraId="226B93E6"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323</w:t>
            </w:r>
            <w:r w:rsidRPr="00373F1A">
              <w:rPr>
                <w:rFonts w:ascii="Calibri" w:hAnsi="Calibri" w:cs="Calibri"/>
                <w:color w:val="000000"/>
              </w:rPr>
              <w:t xml:space="preserve"> </w:t>
            </w:r>
          </w:p>
        </w:tc>
      </w:tr>
      <w:tr w:rsidR="00CB7716" w:rsidRPr="00373F1A" w14:paraId="1C6634EB" w14:textId="77777777" w:rsidTr="00DE0E16">
        <w:trPr>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1ABE0C83" w14:textId="77777777" w:rsidR="00CB7716" w:rsidRPr="007F5AD5" w:rsidRDefault="00CB7716" w:rsidP="00CB7716">
            <w:pPr>
              <w:rPr>
                <w:rFonts w:ascii="Calibri" w:hAnsi="Calibri" w:cs="Calibri"/>
                <w:b w:val="0"/>
                <w:color w:val="000000"/>
              </w:rPr>
            </w:pPr>
            <w:r w:rsidRPr="007F5AD5">
              <w:rPr>
                <w:rFonts w:ascii="Calibri" w:hAnsi="Calibri" w:cs="Calibri"/>
                <w:b w:val="0"/>
                <w:color w:val="000000"/>
              </w:rPr>
              <w:t>Category 2 business</w:t>
            </w:r>
          </w:p>
        </w:tc>
        <w:tc>
          <w:tcPr>
            <w:tcW w:w="1553" w:type="pct"/>
            <w:noWrap/>
            <w:hideMark/>
          </w:tcPr>
          <w:p w14:paraId="07F2BB69"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w:t>
            </w:r>
          </w:p>
        </w:tc>
        <w:tc>
          <w:tcPr>
            <w:tcW w:w="939" w:type="pct"/>
            <w:noWrap/>
            <w:hideMark/>
          </w:tcPr>
          <w:p w14:paraId="060C5901"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w:t>
            </w:r>
          </w:p>
        </w:tc>
        <w:tc>
          <w:tcPr>
            <w:tcW w:w="1203" w:type="pct"/>
            <w:noWrap/>
            <w:hideMark/>
          </w:tcPr>
          <w:p w14:paraId="22BF3523"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2</w:t>
            </w:r>
            <w:r>
              <w:rPr>
                <w:rFonts w:ascii="Calibri" w:hAnsi="Calibri" w:cs="Calibri"/>
                <w:color w:val="000000"/>
              </w:rPr>
              <w:t>76</w:t>
            </w:r>
            <w:r w:rsidRPr="00373F1A">
              <w:rPr>
                <w:rFonts w:ascii="Calibri" w:hAnsi="Calibri" w:cs="Calibri"/>
                <w:color w:val="000000"/>
              </w:rPr>
              <w:t xml:space="preserve"> </w:t>
            </w:r>
          </w:p>
        </w:tc>
      </w:tr>
    </w:tbl>
    <w:p w14:paraId="2610BBF5" w14:textId="77777777" w:rsidR="0000604C" w:rsidRDefault="0000604C" w:rsidP="0000604C">
      <w:pPr>
        <w:spacing w:after="240"/>
        <w:rPr>
          <w:rFonts w:eastAsiaTheme="majorEastAsia"/>
          <w:lang w:eastAsia="en-AU"/>
        </w:rPr>
      </w:pPr>
    </w:p>
    <w:p w14:paraId="1808CD80" w14:textId="65526C47" w:rsidR="00CB7716" w:rsidRPr="0000604C" w:rsidRDefault="00CB7716" w:rsidP="0000604C">
      <w:pPr>
        <w:rPr>
          <w:rFonts w:eastAsiaTheme="majorEastAsia"/>
          <w:i/>
          <w:lang w:eastAsia="en-AU"/>
        </w:rPr>
      </w:pPr>
      <w:r w:rsidRPr="0000604C">
        <w:rPr>
          <w:rFonts w:eastAsiaTheme="majorEastAsia"/>
          <w:i/>
          <w:lang w:eastAsia="en-AU"/>
        </w:rPr>
        <w:t>Ongoing requirements</w:t>
      </w:r>
    </w:p>
    <w:p w14:paraId="24C06ED5" w14:textId="77777777" w:rsidR="00CB7716" w:rsidRPr="00373F1A" w:rsidRDefault="00CB7716" w:rsidP="0000604C">
      <w:pPr>
        <w:spacing w:after="240"/>
        <w:rPr>
          <w:lang w:eastAsia="en-AU"/>
        </w:rPr>
      </w:pPr>
      <w:r w:rsidRPr="68C0CA2D">
        <w:rPr>
          <w:lang w:eastAsia="en-AU"/>
        </w:rPr>
        <w:t>The ongoing costs in a business reflect the additional labour time involved in creating the evidence, and the need for an annual review of the system. It was assumed that Category 1 businesses will spend between 10 and 12 minutes per day creating this evidence, depending on their handling activities (70</w:t>
      </w:r>
      <w:r w:rsidRPr="68C0CA2D">
        <w:rPr>
          <w:rFonts w:cs="Arial"/>
          <w:lang w:eastAsia="en-AU"/>
        </w:rPr>
        <w:t>−</w:t>
      </w:r>
      <w:r w:rsidRPr="68C0CA2D">
        <w:rPr>
          <w:lang w:eastAsia="en-AU"/>
        </w:rPr>
        <w:t>84 minutes per week, 60.6</w:t>
      </w:r>
      <w:r w:rsidRPr="68C0CA2D">
        <w:rPr>
          <w:rFonts w:cs="Arial"/>
          <w:lang w:eastAsia="en-AU"/>
        </w:rPr>
        <w:t>−</w:t>
      </w:r>
      <w:r w:rsidRPr="68C0CA2D">
        <w:rPr>
          <w:lang w:eastAsia="en-AU"/>
        </w:rPr>
        <w:t xml:space="preserve">72.8 hours per annum). Category </w:t>
      </w:r>
      <w:r w:rsidRPr="68C0CA2D">
        <w:rPr>
          <w:lang w:eastAsia="en-AU"/>
        </w:rPr>
        <w:lastRenderedPageBreak/>
        <w:t xml:space="preserve">2 businesses were assumed to spend </w:t>
      </w:r>
      <w:r>
        <w:t>eight minutes</w:t>
      </w:r>
      <w:r w:rsidRPr="68C0CA2D">
        <w:rPr>
          <w:lang w:eastAsia="en-AU"/>
        </w:rPr>
        <w:t xml:space="preserve"> per day (56 minutes per week, 48.5 hours per annum). This timing is based on the assumption that all businesses operate seven days per week, 52 weeks per annum.</w:t>
      </w:r>
    </w:p>
    <w:p w14:paraId="0568B83A" w14:textId="77777777" w:rsidR="00CB7716" w:rsidRPr="00373F1A" w:rsidRDefault="00CB7716" w:rsidP="0000604C">
      <w:pPr>
        <w:spacing w:after="240"/>
        <w:rPr>
          <w:lang w:eastAsia="en-AU"/>
        </w:rPr>
      </w:pPr>
      <w:r w:rsidRPr="00373F1A">
        <w:rPr>
          <w:lang w:eastAsia="en-AU"/>
        </w:rPr>
        <w:t xml:space="preserve">The </w:t>
      </w:r>
      <w:r w:rsidRPr="00373F1A">
        <w:t>various assumptions used to calculate the cost of maintaining a</w:t>
      </w:r>
      <w:r>
        <w:t>n</w:t>
      </w:r>
      <w:r w:rsidRPr="00373F1A">
        <w:t xml:space="preserve"> </w:t>
      </w:r>
      <w:r>
        <w:rPr>
          <w:lang w:eastAsia="en-AU"/>
        </w:rPr>
        <w:t>E</w:t>
      </w:r>
      <w:r w:rsidRPr="00373F1A">
        <w:rPr>
          <w:lang w:eastAsia="en-AU"/>
        </w:rPr>
        <w:t xml:space="preserve"> tool for businesses are shown in Table 7.</w:t>
      </w:r>
    </w:p>
    <w:p w14:paraId="1D702A31" w14:textId="77777777" w:rsidR="00CB7716" w:rsidRPr="00FA2DC4" w:rsidRDefault="00CB7716" w:rsidP="00CB7716">
      <w:pPr>
        <w:pStyle w:val="FSTableFigureHeading"/>
        <w:rPr>
          <w:sz w:val="20"/>
        </w:rPr>
      </w:pPr>
      <w:r w:rsidRPr="00FA2DC4">
        <w:rPr>
          <w:sz w:val="20"/>
        </w:rPr>
        <w:t>Table 7: Assumptions used to calculate the cost of maintaining E tool for food businesses</w:t>
      </w:r>
    </w:p>
    <w:tbl>
      <w:tblPr>
        <w:tblW w:w="5000" w:type="pct"/>
        <w:tblLook w:val="04A0" w:firstRow="1" w:lastRow="0" w:firstColumn="1" w:lastColumn="0" w:noHBand="0" w:noVBand="1"/>
      </w:tblPr>
      <w:tblGrid>
        <w:gridCol w:w="5360"/>
        <w:gridCol w:w="3700"/>
      </w:tblGrid>
      <w:tr w:rsidR="00CB7716" w:rsidRPr="00373F1A" w14:paraId="2EB81B96" w14:textId="77777777" w:rsidTr="00CB7716">
        <w:trPr>
          <w:trHeight w:val="345"/>
          <w:tblHeader/>
        </w:trPr>
        <w:tc>
          <w:tcPr>
            <w:tcW w:w="5000" w:type="pct"/>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003300"/>
            <w:hideMark/>
          </w:tcPr>
          <w:p w14:paraId="730F5837" w14:textId="77777777" w:rsidR="00CB7716" w:rsidRPr="00373F1A" w:rsidRDefault="00CB7716" w:rsidP="00CB7716">
            <w:pPr>
              <w:keepLines/>
              <w:jc w:val="center"/>
              <w:rPr>
                <w:rFonts w:ascii="Calibri" w:hAnsi="Calibri"/>
                <w:b/>
                <w:bCs/>
                <w:color w:val="F2F2F2"/>
                <w:sz w:val="26"/>
                <w:szCs w:val="26"/>
                <w:lang w:eastAsia="en-GB"/>
              </w:rPr>
            </w:pPr>
            <w:r>
              <w:rPr>
                <w:rFonts w:ascii="Calibri" w:hAnsi="Calibri"/>
                <w:b/>
                <w:bCs/>
                <w:color w:val="F2F2F2"/>
                <w:sz w:val="26"/>
                <w:szCs w:val="26"/>
                <w:lang w:eastAsia="en-GB"/>
              </w:rPr>
              <w:t>E</w:t>
            </w:r>
            <w:r w:rsidRPr="00373F1A">
              <w:rPr>
                <w:rFonts w:ascii="Calibri" w:hAnsi="Calibri"/>
                <w:b/>
                <w:bCs/>
                <w:color w:val="F2F2F2"/>
                <w:sz w:val="26"/>
                <w:szCs w:val="26"/>
                <w:lang w:eastAsia="en-GB"/>
              </w:rPr>
              <w:t xml:space="preserve"> costs and assumptions - ongoing</w:t>
            </w:r>
          </w:p>
        </w:tc>
      </w:tr>
      <w:tr w:rsidR="00CB7716" w:rsidRPr="00373F1A" w14:paraId="7404CA88" w14:textId="77777777" w:rsidTr="00CB7716">
        <w:trPr>
          <w:trHeight w:val="274"/>
          <w:tblHeader/>
        </w:trPr>
        <w:tc>
          <w:tcPr>
            <w:tcW w:w="2958" w:type="pct"/>
            <w:tcBorders>
              <w:top w:val="nil"/>
              <w:left w:val="single" w:sz="4" w:space="0" w:color="000000" w:themeColor="text1"/>
              <w:bottom w:val="nil"/>
              <w:right w:val="single" w:sz="4" w:space="0" w:color="000000" w:themeColor="text1"/>
            </w:tcBorders>
            <w:shd w:val="clear" w:color="auto" w:fill="EDEDED"/>
          </w:tcPr>
          <w:p w14:paraId="680708A8" w14:textId="77777777" w:rsidR="00CB7716" w:rsidRPr="00373F1A" w:rsidRDefault="00CB7716" w:rsidP="00CB7716">
            <w:pPr>
              <w:keepLines/>
              <w:rPr>
                <w:rFonts w:ascii="Calibri" w:hAnsi="Calibri"/>
                <w:color w:val="000000"/>
                <w:lang w:eastAsia="en-GB"/>
              </w:rPr>
            </w:pPr>
            <w:r w:rsidRPr="00373F1A">
              <w:rPr>
                <w:rFonts w:ascii="Calibri" w:hAnsi="Calibri"/>
                <w:color w:val="000000"/>
                <w:lang w:eastAsia="en-GB"/>
              </w:rPr>
              <w:t>Food handler wage</w:t>
            </w:r>
          </w:p>
        </w:tc>
        <w:tc>
          <w:tcPr>
            <w:tcW w:w="2042" w:type="pct"/>
            <w:tcBorders>
              <w:top w:val="nil"/>
              <w:left w:val="nil"/>
              <w:bottom w:val="nil"/>
              <w:right w:val="single" w:sz="4" w:space="0" w:color="000000" w:themeColor="text1"/>
            </w:tcBorders>
            <w:shd w:val="clear" w:color="auto" w:fill="EDEDED"/>
            <w:noWrap/>
          </w:tcPr>
          <w:p w14:paraId="70E3F397" w14:textId="77777777" w:rsidR="00CB7716" w:rsidRPr="00373F1A" w:rsidRDefault="00CB7716" w:rsidP="00CB7716">
            <w:pPr>
              <w:keepLines/>
              <w:jc w:val="center"/>
              <w:rPr>
                <w:rFonts w:ascii="Calibri" w:hAnsi="Calibri"/>
                <w:color w:val="000000"/>
                <w:lang w:eastAsia="en-GB"/>
              </w:rPr>
            </w:pPr>
            <w:r w:rsidRPr="00373F1A">
              <w:rPr>
                <w:rFonts w:ascii="Calibri" w:hAnsi="Calibri"/>
                <w:color w:val="000000"/>
                <w:lang w:eastAsia="en-GB"/>
              </w:rPr>
              <w:t>$23 p/h (from award)</w:t>
            </w:r>
          </w:p>
        </w:tc>
      </w:tr>
      <w:tr w:rsidR="00CB7716" w:rsidRPr="00373F1A" w14:paraId="42C455D7" w14:textId="77777777" w:rsidTr="00CB7716">
        <w:trPr>
          <w:trHeight w:val="274"/>
          <w:tblHeader/>
        </w:trPr>
        <w:tc>
          <w:tcPr>
            <w:tcW w:w="2958" w:type="pct"/>
            <w:tcBorders>
              <w:top w:val="nil"/>
              <w:left w:val="single" w:sz="4" w:space="0" w:color="000000" w:themeColor="text1"/>
              <w:bottom w:val="nil"/>
              <w:right w:val="single" w:sz="4" w:space="0" w:color="000000" w:themeColor="text1"/>
            </w:tcBorders>
            <w:shd w:val="clear" w:color="auto" w:fill="EDEDED"/>
          </w:tcPr>
          <w:p w14:paraId="76DACC26" w14:textId="77777777" w:rsidR="00CB7716" w:rsidRDefault="00CB7716" w:rsidP="00CB7716">
            <w:pPr>
              <w:keepLines/>
              <w:rPr>
                <w:rFonts w:ascii="Calibri" w:hAnsi="Calibri"/>
                <w:color w:val="000000"/>
                <w:lang w:eastAsia="en-GB"/>
              </w:rPr>
            </w:pPr>
            <w:r w:rsidRPr="00373F1A">
              <w:rPr>
                <w:rFonts w:ascii="Calibri" w:hAnsi="Calibri"/>
                <w:color w:val="000000"/>
                <w:lang w:eastAsia="en-GB"/>
              </w:rPr>
              <w:t>Wage on costs</w:t>
            </w:r>
          </w:p>
        </w:tc>
        <w:tc>
          <w:tcPr>
            <w:tcW w:w="2042" w:type="pct"/>
            <w:tcBorders>
              <w:top w:val="nil"/>
              <w:left w:val="nil"/>
              <w:bottom w:val="nil"/>
              <w:right w:val="single" w:sz="4" w:space="0" w:color="000000" w:themeColor="text1"/>
            </w:tcBorders>
            <w:shd w:val="clear" w:color="auto" w:fill="EDEDED"/>
            <w:noWrap/>
          </w:tcPr>
          <w:p w14:paraId="42D6BAAD" w14:textId="77777777" w:rsidR="00CB7716" w:rsidRDefault="00CB7716" w:rsidP="00CB7716">
            <w:pPr>
              <w:keepLines/>
              <w:jc w:val="center"/>
              <w:rPr>
                <w:rFonts w:ascii="Calibri" w:hAnsi="Calibri"/>
                <w:color w:val="000000"/>
                <w:lang w:eastAsia="en-GB"/>
              </w:rPr>
            </w:pPr>
            <w:r>
              <w:rPr>
                <w:rFonts w:ascii="Calibri" w:hAnsi="Calibri"/>
                <w:color w:val="000000"/>
                <w:lang w:eastAsia="en-GB"/>
              </w:rPr>
              <w:t>30</w:t>
            </w:r>
            <w:r w:rsidRPr="00373F1A">
              <w:rPr>
                <w:rFonts w:ascii="Calibri" w:hAnsi="Calibri"/>
                <w:color w:val="000000"/>
                <w:lang w:eastAsia="en-GB"/>
              </w:rPr>
              <w:t>%</w:t>
            </w:r>
          </w:p>
        </w:tc>
      </w:tr>
      <w:tr w:rsidR="00CB7716" w:rsidRPr="00373F1A" w14:paraId="65088F55" w14:textId="77777777" w:rsidTr="00CB7716">
        <w:trPr>
          <w:trHeight w:val="274"/>
          <w:tblHeader/>
        </w:trPr>
        <w:tc>
          <w:tcPr>
            <w:tcW w:w="2958" w:type="pct"/>
            <w:tcBorders>
              <w:top w:val="nil"/>
              <w:left w:val="single" w:sz="4" w:space="0" w:color="000000" w:themeColor="text1"/>
              <w:bottom w:val="nil"/>
              <w:right w:val="single" w:sz="4" w:space="0" w:color="000000" w:themeColor="text1"/>
            </w:tcBorders>
            <w:shd w:val="clear" w:color="auto" w:fill="EDEDED"/>
          </w:tcPr>
          <w:p w14:paraId="011DEE87" w14:textId="77777777" w:rsidR="00CB7716" w:rsidRDefault="00CB7716" w:rsidP="00CB7716">
            <w:pPr>
              <w:keepLines/>
              <w:rPr>
                <w:rFonts w:ascii="Calibri" w:hAnsi="Calibri"/>
                <w:color w:val="000000"/>
                <w:lang w:eastAsia="en-GB"/>
              </w:rPr>
            </w:pPr>
            <w:r w:rsidRPr="00373F1A">
              <w:rPr>
                <w:rFonts w:ascii="Calibri" w:hAnsi="Calibri" w:cs="Calibri"/>
                <w:color w:val="000000"/>
              </w:rPr>
              <w:t xml:space="preserve">Category 1 business </w:t>
            </w:r>
            <w:r>
              <w:rPr>
                <w:rFonts w:ascii="Calibri" w:hAnsi="Calibri" w:cs="Calibri"/>
                <w:color w:val="000000"/>
              </w:rPr>
              <w:t>E</w:t>
            </w:r>
            <w:r w:rsidRPr="00373F1A">
              <w:rPr>
                <w:rFonts w:ascii="Calibri" w:hAnsi="Calibri" w:cs="Calibri"/>
                <w:color w:val="000000"/>
              </w:rPr>
              <w:t xml:space="preserve"> hours per annum</w:t>
            </w:r>
          </w:p>
        </w:tc>
        <w:tc>
          <w:tcPr>
            <w:tcW w:w="2042" w:type="pct"/>
            <w:tcBorders>
              <w:top w:val="nil"/>
              <w:left w:val="nil"/>
              <w:bottom w:val="nil"/>
              <w:right w:val="single" w:sz="4" w:space="0" w:color="000000" w:themeColor="text1"/>
            </w:tcBorders>
            <w:shd w:val="clear" w:color="auto" w:fill="EDEDED"/>
            <w:noWrap/>
          </w:tcPr>
          <w:p w14:paraId="74546737" w14:textId="77777777" w:rsidR="00CB7716" w:rsidRDefault="00CB7716" w:rsidP="00CB7716">
            <w:pPr>
              <w:keepLines/>
              <w:jc w:val="center"/>
              <w:rPr>
                <w:rFonts w:ascii="Calibri" w:hAnsi="Calibri"/>
                <w:color w:val="000000"/>
                <w:lang w:eastAsia="en-GB"/>
              </w:rPr>
            </w:pPr>
            <w:r w:rsidRPr="25DEA6C8">
              <w:rPr>
                <w:rFonts w:ascii="Calibri" w:hAnsi="Calibri" w:cs="Calibri"/>
                <w:color w:val="000000" w:themeColor="text1"/>
              </w:rPr>
              <w:t>52</w:t>
            </w:r>
          </w:p>
        </w:tc>
      </w:tr>
      <w:tr w:rsidR="00CB7716" w:rsidRPr="00373F1A" w14:paraId="1DC5DEBA" w14:textId="77777777" w:rsidTr="00CB7716">
        <w:trPr>
          <w:trHeight w:val="274"/>
          <w:tblHeader/>
        </w:trPr>
        <w:tc>
          <w:tcPr>
            <w:tcW w:w="2958" w:type="pct"/>
            <w:tcBorders>
              <w:top w:val="nil"/>
              <w:left w:val="single" w:sz="4" w:space="0" w:color="000000" w:themeColor="text1"/>
              <w:bottom w:val="single" w:sz="4" w:space="0" w:color="000000" w:themeColor="text1"/>
              <w:right w:val="single" w:sz="4" w:space="0" w:color="000000" w:themeColor="text1"/>
            </w:tcBorders>
            <w:shd w:val="clear" w:color="auto" w:fill="EDEDED"/>
          </w:tcPr>
          <w:p w14:paraId="146F99E8" w14:textId="77777777" w:rsidR="00CB7716" w:rsidRDefault="00CB7716" w:rsidP="00CB7716">
            <w:pPr>
              <w:keepLines/>
              <w:rPr>
                <w:rFonts w:ascii="Calibri" w:hAnsi="Calibri"/>
                <w:color w:val="000000"/>
                <w:lang w:eastAsia="en-GB"/>
              </w:rPr>
            </w:pPr>
            <w:r w:rsidRPr="00373F1A">
              <w:rPr>
                <w:rFonts w:ascii="Calibri" w:hAnsi="Calibri" w:cs="Calibri"/>
                <w:color w:val="000000"/>
              </w:rPr>
              <w:t xml:space="preserve">Category 2 business </w:t>
            </w:r>
            <w:r>
              <w:rPr>
                <w:rFonts w:ascii="Calibri" w:hAnsi="Calibri" w:cs="Calibri"/>
                <w:color w:val="000000"/>
              </w:rPr>
              <w:t>E</w:t>
            </w:r>
            <w:r w:rsidRPr="00373F1A">
              <w:rPr>
                <w:rFonts w:ascii="Calibri" w:hAnsi="Calibri" w:cs="Calibri"/>
                <w:color w:val="000000"/>
              </w:rPr>
              <w:t xml:space="preserve"> hours per annum</w:t>
            </w:r>
          </w:p>
        </w:tc>
        <w:tc>
          <w:tcPr>
            <w:tcW w:w="2042" w:type="pct"/>
            <w:tcBorders>
              <w:top w:val="nil"/>
              <w:left w:val="nil"/>
              <w:bottom w:val="single" w:sz="4" w:space="0" w:color="000000" w:themeColor="text1"/>
              <w:right w:val="single" w:sz="4" w:space="0" w:color="000000" w:themeColor="text1"/>
            </w:tcBorders>
            <w:shd w:val="clear" w:color="auto" w:fill="EDEDED"/>
            <w:noWrap/>
          </w:tcPr>
          <w:p w14:paraId="18700D95" w14:textId="77777777" w:rsidR="00CB7716" w:rsidRDefault="00CB7716" w:rsidP="00CB7716">
            <w:pPr>
              <w:keepLines/>
              <w:jc w:val="center"/>
              <w:rPr>
                <w:rFonts w:ascii="Calibri" w:hAnsi="Calibri"/>
                <w:color w:val="000000"/>
                <w:lang w:eastAsia="en-GB"/>
              </w:rPr>
            </w:pPr>
            <w:r w:rsidRPr="48861835" w:rsidDel="005B22F8">
              <w:rPr>
                <w:rFonts w:ascii="Calibri" w:hAnsi="Calibri" w:cs="Calibri"/>
                <w:color w:val="000000" w:themeColor="text1"/>
              </w:rPr>
              <w:t>39</w:t>
            </w:r>
          </w:p>
        </w:tc>
      </w:tr>
    </w:tbl>
    <w:p w14:paraId="4AFE57FE" w14:textId="77777777" w:rsidR="00CB7716" w:rsidRPr="00212B50" w:rsidRDefault="00CB7716" w:rsidP="00CB7716">
      <w:pPr>
        <w:rPr>
          <w:sz w:val="20"/>
          <w:lang w:eastAsia="en-AU"/>
        </w:rPr>
      </w:pPr>
    </w:p>
    <w:p w14:paraId="0F8E2857" w14:textId="1823F154" w:rsidR="00CB7716" w:rsidRPr="0000604C" w:rsidRDefault="00CB7716" w:rsidP="0000604C">
      <w:pPr>
        <w:spacing w:after="240"/>
        <w:rPr>
          <w:lang w:eastAsia="en-AU"/>
        </w:rPr>
      </w:pPr>
      <w:r w:rsidRPr="00373F1A">
        <w:rPr>
          <w:lang w:eastAsia="en-AU"/>
        </w:rPr>
        <w:t xml:space="preserve">Using the assumptions in Table </w:t>
      </w:r>
      <w:r>
        <w:rPr>
          <w:lang w:eastAsia="en-AU"/>
        </w:rPr>
        <w:t>7</w:t>
      </w:r>
      <w:r w:rsidRPr="00373F1A">
        <w:rPr>
          <w:lang w:eastAsia="en-AU"/>
        </w:rPr>
        <w:t xml:space="preserve">, FSANZ estimated the cost of maintaining </w:t>
      </w:r>
      <w:r>
        <w:rPr>
          <w:lang w:eastAsia="en-AU"/>
        </w:rPr>
        <w:t xml:space="preserve">the E tool, shown </w:t>
      </w:r>
      <w:r w:rsidRPr="00373F1A">
        <w:rPr>
          <w:lang w:eastAsia="en-AU"/>
        </w:rPr>
        <w:t xml:space="preserve">in </w:t>
      </w:r>
      <w:r>
        <w:rPr>
          <w:lang w:eastAsia="en-AU"/>
        </w:rPr>
        <w:t>T</w:t>
      </w:r>
      <w:r w:rsidRPr="00373F1A">
        <w:rPr>
          <w:lang w:eastAsia="en-AU"/>
        </w:rPr>
        <w:t xml:space="preserve">able </w:t>
      </w:r>
      <w:r>
        <w:rPr>
          <w:lang w:eastAsia="en-AU"/>
        </w:rPr>
        <w:t xml:space="preserve">8 </w:t>
      </w:r>
      <w:r w:rsidR="0000604C">
        <w:rPr>
          <w:lang w:eastAsia="en-AU"/>
        </w:rPr>
        <w:t>below.</w:t>
      </w:r>
    </w:p>
    <w:p w14:paraId="1B1A0824" w14:textId="20BD0C50" w:rsidR="00CB7716" w:rsidRPr="00FA2DC4" w:rsidRDefault="00CB7716" w:rsidP="00CB7716">
      <w:pPr>
        <w:pStyle w:val="FSTableFigureHeading"/>
        <w:rPr>
          <w:sz w:val="20"/>
        </w:rPr>
      </w:pPr>
      <w:r w:rsidRPr="00FA2DC4">
        <w:rPr>
          <w:sz w:val="20"/>
        </w:rPr>
        <w:t>Table 8: FSANZ cost estimates for maintaining the E tool, per annum, by business category</w:t>
      </w:r>
    </w:p>
    <w:tbl>
      <w:tblPr>
        <w:tblStyle w:val="GridTable4-Accent6"/>
        <w:tblW w:w="4478" w:type="pct"/>
        <w:tblLook w:val="04A0" w:firstRow="1" w:lastRow="0" w:firstColumn="1" w:lastColumn="0" w:noHBand="0" w:noVBand="1"/>
      </w:tblPr>
      <w:tblGrid>
        <w:gridCol w:w="3272"/>
        <w:gridCol w:w="4842"/>
      </w:tblGrid>
      <w:tr w:rsidR="00CB7716" w:rsidRPr="00373F1A" w14:paraId="1BBD857A" w14:textId="77777777" w:rsidTr="00DE0E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pct"/>
            <w:noWrap/>
            <w:hideMark/>
          </w:tcPr>
          <w:p w14:paraId="50B71C94" w14:textId="77777777" w:rsidR="00CB7716" w:rsidRPr="00373F1A" w:rsidRDefault="00CB7716" w:rsidP="00CB7716">
            <w:pPr>
              <w:rPr>
                <w:rFonts w:ascii="Calibri" w:hAnsi="Calibri" w:cs="Calibri"/>
                <w:color w:val="000000"/>
              </w:rPr>
            </w:pPr>
            <w:r w:rsidRPr="00373F1A">
              <w:rPr>
                <w:rFonts w:ascii="Calibri" w:hAnsi="Calibri" w:cs="Calibri"/>
                <w:color w:val="000000"/>
              </w:rPr>
              <w:t>Category</w:t>
            </w:r>
          </w:p>
        </w:tc>
        <w:tc>
          <w:tcPr>
            <w:tcW w:w="2984" w:type="pct"/>
            <w:noWrap/>
            <w:hideMark/>
          </w:tcPr>
          <w:p w14:paraId="1BD028E4"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Ongoing</w:t>
            </w:r>
            <w:r w:rsidRPr="00373F1A">
              <w:rPr>
                <w:rFonts w:ascii="Calibri" w:hAnsi="Calibri" w:cs="Calibri"/>
                <w:color w:val="000000"/>
              </w:rPr>
              <w:t xml:space="preserve"> ($ p.a.)</w:t>
            </w:r>
          </w:p>
        </w:tc>
      </w:tr>
      <w:tr w:rsidR="00CB7716" w:rsidRPr="00373F1A" w14:paraId="2F197F7A" w14:textId="77777777" w:rsidTr="00DE0E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pct"/>
            <w:noWrap/>
            <w:hideMark/>
          </w:tcPr>
          <w:p w14:paraId="50B65A35" w14:textId="77777777" w:rsidR="00CB7716" w:rsidRPr="007D3651" w:rsidRDefault="00CB7716" w:rsidP="00CB7716">
            <w:pPr>
              <w:rPr>
                <w:rFonts w:ascii="Calibri" w:hAnsi="Calibri" w:cs="Calibri"/>
                <w:b w:val="0"/>
              </w:rPr>
            </w:pPr>
            <w:r w:rsidRPr="007D3651">
              <w:rPr>
                <w:rFonts w:ascii="Calibri" w:hAnsi="Calibri" w:cs="Calibri"/>
                <w:b w:val="0"/>
              </w:rPr>
              <w:t>Category 1 business</w:t>
            </w:r>
          </w:p>
        </w:tc>
        <w:tc>
          <w:tcPr>
            <w:tcW w:w="2984" w:type="pct"/>
            <w:noWrap/>
          </w:tcPr>
          <w:p w14:paraId="7EAF88A1"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48861835" w:rsidDel="005B22F8">
              <w:rPr>
                <w:rFonts w:ascii="Calibri" w:hAnsi="Calibri" w:cs="Calibri"/>
                <w:color w:val="000000" w:themeColor="text1"/>
              </w:rPr>
              <w:t>1,555</w:t>
            </w:r>
          </w:p>
        </w:tc>
      </w:tr>
      <w:tr w:rsidR="00CB7716" w:rsidRPr="00373F1A" w14:paraId="14AFA61F" w14:textId="77777777" w:rsidTr="00DE0E16">
        <w:trPr>
          <w:trHeight w:val="300"/>
        </w:trPr>
        <w:tc>
          <w:tcPr>
            <w:cnfStyle w:val="001000000000" w:firstRow="0" w:lastRow="0" w:firstColumn="1" w:lastColumn="0" w:oddVBand="0" w:evenVBand="0" w:oddHBand="0" w:evenHBand="0" w:firstRowFirstColumn="0" w:firstRowLastColumn="0" w:lastRowFirstColumn="0" w:lastRowLastColumn="0"/>
            <w:tcW w:w="2016" w:type="pct"/>
            <w:noWrap/>
            <w:hideMark/>
          </w:tcPr>
          <w:p w14:paraId="003C2FE2" w14:textId="77777777" w:rsidR="00CB7716" w:rsidRPr="007D3651" w:rsidRDefault="00CB7716" w:rsidP="00CB7716">
            <w:pPr>
              <w:rPr>
                <w:rFonts w:ascii="Calibri" w:hAnsi="Calibri" w:cs="Calibri"/>
                <w:b w:val="0"/>
              </w:rPr>
            </w:pPr>
            <w:r w:rsidRPr="007D3651">
              <w:rPr>
                <w:rFonts w:ascii="Calibri" w:hAnsi="Calibri" w:cs="Calibri"/>
                <w:b w:val="0"/>
              </w:rPr>
              <w:t>Category 2 business</w:t>
            </w:r>
          </w:p>
        </w:tc>
        <w:tc>
          <w:tcPr>
            <w:tcW w:w="2984" w:type="pct"/>
            <w:noWrap/>
          </w:tcPr>
          <w:p w14:paraId="2005AC4C"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48861835" w:rsidDel="005B22F8">
              <w:rPr>
                <w:rFonts w:ascii="Calibri" w:hAnsi="Calibri" w:cs="Calibri"/>
                <w:color w:val="000000" w:themeColor="text1"/>
              </w:rPr>
              <w:t>1,166</w:t>
            </w:r>
          </w:p>
        </w:tc>
      </w:tr>
    </w:tbl>
    <w:p w14:paraId="3184B234" w14:textId="77777777" w:rsidR="00CB7716" w:rsidRPr="0025246D" w:rsidRDefault="00CB7716" w:rsidP="0025246D">
      <w:pPr>
        <w:pStyle w:val="Heading3"/>
        <w:numPr>
          <w:ilvl w:val="0"/>
          <w:numId w:val="0"/>
        </w:numPr>
        <w:ind w:left="720" w:hanging="720"/>
        <w:rPr>
          <w:sz w:val="28"/>
        </w:rPr>
      </w:pPr>
      <w:bookmarkStart w:id="379" w:name="_Toc104808624"/>
      <w:bookmarkStart w:id="380" w:name="_Toc107412720"/>
      <w:bookmarkStart w:id="381" w:name="_Toc109300468"/>
      <w:r w:rsidRPr="0025246D">
        <w:rPr>
          <w:sz w:val="28"/>
        </w:rPr>
        <w:t>Efficacy of interventions</w:t>
      </w:r>
      <w:bookmarkEnd w:id="379"/>
      <w:bookmarkEnd w:id="380"/>
      <w:bookmarkEnd w:id="381"/>
    </w:p>
    <w:p w14:paraId="4AB53E8B" w14:textId="77777777" w:rsidR="00CB7716" w:rsidRPr="00373F1A" w:rsidRDefault="00CB7716" w:rsidP="0000604C">
      <w:pPr>
        <w:spacing w:after="240"/>
      </w:pPr>
      <w:r w:rsidRPr="00373F1A">
        <w:t xml:space="preserve">The assumed efficacy of the tools used in FSANZ’s regulatory analysis </w:t>
      </w:r>
      <w:r>
        <w:t>was</w:t>
      </w:r>
      <w:r w:rsidRPr="00373F1A">
        <w:t xml:space="preserve"> estimated based on:</w:t>
      </w:r>
    </w:p>
    <w:p w14:paraId="262D498B" w14:textId="77777777" w:rsidR="00CB7716" w:rsidRPr="00373F1A" w:rsidRDefault="00CB7716" w:rsidP="00614AF5">
      <w:pPr>
        <w:pStyle w:val="ListParagraph"/>
        <w:numPr>
          <w:ilvl w:val="0"/>
          <w:numId w:val="93"/>
        </w:numPr>
        <w:spacing w:after="240"/>
      </w:pPr>
      <w:r w:rsidRPr="00373F1A">
        <w:t xml:space="preserve">the causes of foodborne illness outbreaks as reported by </w:t>
      </w:r>
      <w:proofErr w:type="spellStart"/>
      <w:r w:rsidRPr="00373F1A">
        <w:t>OzFoodNet</w:t>
      </w:r>
      <w:proofErr w:type="spellEnd"/>
      <w:r w:rsidRPr="00373F1A">
        <w:t xml:space="preserve"> </w:t>
      </w:r>
    </w:p>
    <w:p w14:paraId="326B1451" w14:textId="77777777" w:rsidR="00CB7716" w:rsidRPr="00373F1A" w:rsidRDefault="00CB7716" w:rsidP="00614AF5">
      <w:pPr>
        <w:pStyle w:val="ListParagraph"/>
        <w:numPr>
          <w:ilvl w:val="0"/>
          <w:numId w:val="93"/>
        </w:numPr>
        <w:spacing w:after="240"/>
      </w:pPr>
      <w:r w:rsidRPr="00373F1A">
        <w:t>whether the tools are likely to help manage the causes of illness</w:t>
      </w:r>
    </w:p>
    <w:p w14:paraId="50F73174" w14:textId="77777777" w:rsidR="00CB7716" w:rsidRPr="00373F1A" w:rsidRDefault="00CB7716" w:rsidP="00614AF5">
      <w:pPr>
        <w:pStyle w:val="ListParagraph"/>
        <w:numPr>
          <w:ilvl w:val="0"/>
          <w:numId w:val="93"/>
        </w:numPr>
        <w:spacing w:after="240"/>
      </w:pPr>
      <w:r w:rsidRPr="00373F1A">
        <w:t>whether the tools have already been implemented in the jurisdiction</w:t>
      </w:r>
    </w:p>
    <w:p w14:paraId="36311AAA" w14:textId="77777777" w:rsidR="00CB7716" w:rsidRPr="00373F1A" w:rsidRDefault="00CB7716" w:rsidP="00614AF5">
      <w:pPr>
        <w:pStyle w:val="ListParagraph"/>
        <w:numPr>
          <w:ilvl w:val="0"/>
          <w:numId w:val="93"/>
        </w:numPr>
        <w:spacing w:after="240"/>
      </w:pPr>
      <w:r w:rsidRPr="00373F1A">
        <w:t>the estimated likely efficacy for similar measures in the NSW Better Regulation Statement</w:t>
      </w:r>
      <w:sdt>
        <w:sdtPr>
          <w:id w:val="-1340072679"/>
          <w:lock w:val="contentLocked"/>
          <w:citation/>
        </w:sdtPr>
        <w:sdtEndPr/>
        <w:sdtContent>
          <w:r w:rsidRPr="00373F1A">
            <w:fldChar w:fldCharType="begin"/>
          </w:r>
          <w:r w:rsidRPr="0000604C">
            <w:rPr>
              <w:lang w:val="en-AU"/>
            </w:rPr>
            <w:instrText xml:space="preserve"> CITATION NSW09 \l 3081 </w:instrText>
          </w:r>
          <w:r w:rsidRPr="00373F1A">
            <w:fldChar w:fldCharType="separate"/>
          </w:r>
          <w:r w:rsidRPr="0000604C">
            <w:rPr>
              <w:noProof/>
              <w:lang w:val="en-AU"/>
            </w:rPr>
            <w:t xml:space="preserve"> (NSW Food Authority, 2009)</w:t>
          </w:r>
          <w:r w:rsidRPr="00373F1A">
            <w:fldChar w:fldCharType="end"/>
          </w:r>
        </w:sdtContent>
      </w:sdt>
      <w:r w:rsidRPr="00373F1A">
        <w:t>, the Allen Report</w:t>
      </w:r>
      <w:sdt>
        <w:sdtPr>
          <w:id w:val="-509759552"/>
          <w:lock w:val="contentLocked"/>
          <w:citation/>
        </w:sdtPr>
        <w:sdtEndPr/>
        <w:sdtContent>
          <w:r w:rsidRPr="00373F1A">
            <w:fldChar w:fldCharType="begin"/>
          </w:r>
          <w:r w:rsidRPr="0000604C">
            <w:rPr>
              <w:lang w:val="en-AU"/>
            </w:rPr>
            <w:instrText xml:space="preserve">CITATION The02 \n  \t  \l 3081 </w:instrText>
          </w:r>
          <w:r w:rsidRPr="00373F1A">
            <w:fldChar w:fldCharType="separate"/>
          </w:r>
          <w:r w:rsidRPr="0000604C">
            <w:rPr>
              <w:noProof/>
              <w:lang w:val="en-AU"/>
            </w:rPr>
            <w:t xml:space="preserve"> (2002)</w:t>
          </w:r>
          <w:r w:rsidRPr="00373F1A">
            <w:fldChar w:fldCharType="end"/>
          </w:r>
        </w:sdtContent>
      </w:sdt>
      <w:r w:rsidRPr="00373F1A">
        <w:t>, and the National Risk Validation Project</w:t>
      </w:r>
      <w:sdt>
        <w:sdtPr>
          <w:id w:val="-975136862"/>
          <w:lock w:val="contentLocked"/>
          <w:citation/>
        </w:sdtPr>
        <w:sdtEndPr/>
        <w:sdtContent>
          <w:r w:rsidRPr="00373F1A">
            <w:fldChar w:fldCharType="begin"/>
          </w:r>
          <w:r w:rsidRPr="0000604C">
            <w:rPr>
              <w:lang w:val="en-AU"/>
            </w:rPr>
            <w:instrText xml:space="preserve">CITATION Foo02 \n  \t  \l 3081 </w:instrText>
          </w:r>
          <w:r w:rsidRPr="00373F1A">
            <w:fldChar w:fldCharType="separate"/>
          </w:r>
          <w:r w:rsidRPr="0000604C">
            <w:rPr>
              <w:noProof/>
              <w:lang w:val="en-AU"/>
            </w:rPr>
            <w:t xml:space="preserve"> (2002)</w:t>
          </w:r>
          <w:r w:rsidRPr="00373F1A">
            <w:fldChar w:fldCharType="end"/>
          </w:r>
        </w:sdtContent>
      </w:sdt>
      <w:r w:rsidRPr="00373F1A">
        <w:t>.</w:t>
      </w:r>
    </w:p>
    <w:p w14:paraId="14D8B856" w14:textId="77777777" w:rsidR="00CB7716" w:rsidRPr="00373F1A" w:rsidRDefault="00CB7716" w:rsidP="0000604C">
      <w:pPr>
        <w:spacing w:after="240"/>
      </w:pPr>
      <w:r w:rsidRPr="00373F1A">
        <w:t xml:space="preserve">The base efficacy for each of the tools </w:t>
      </w:r>
      <w:r>
        <w:t>was</w:t>
      </w:r>
      <w:r w:rsidRPr="00373F1A">
        <w:t xml:space="preserve"> estimated at: 10% for FSS, 5% for FHT, 10% for </w:t>
      </w:r>
      <w:r>
        <w:t>E,</w:t>
      </w:r>
      <w:r w:rsidRPr="00373F1A">
        <w:t xml:space="preserve"> and an additional 5% where all three measures are implemented</w:t>
      </w:r>
      <w:r>
        <w:t>,</w:t>
      </w:r>
      <w:r w:rsidRPr="00373F1A">
        <w:t xml:space="preserve"> to recognise their complementary nature.</w:t>
      </w:r>
    </w:p>
    <w:p w14:paraId="59248725" w14:textId="1B140142" w:rsidR="00CB7716" w:rsidRPr="00373F1A" w:rsidRDefault="00CB7716" w:rsidP="0000604C">
      <w:pPr>
        <w:spacing w:after="240"/>
      </w:pPr>
      <w:r w:rsidRPr="00373F1A">
        <w:t xml:space="preserve">These estimates </w:t>
      </w:r>
      <w:r>
        <w:t>were</w:t>
      </w:r>
      <w:r w:rsidRPr="00373F1A">
        <w:t xml:space="preserve"> then</w:t>
      </w:r>
      <w:r w:rsidRPr="00373F1A" w:rsidDel="00F00293">
        <w:t xml:space="preserve"> </w:t>
      </w:r>
      <w:r w:rsidRPr="00373F1A">
        <w:t>adjusted downwards, where appropriate, to take into account where measures are already in place in some jurisdictions</w:t>
      </w:r>
      <w:r>
        <w:t>—</w:t>
      </w:r>
      <w:r w:rsidRPr="00373F1A">
        <w:t>it is the incremental effect th</w:t>
      </w:r>
      <w:r>
        <w:t>at is relevant to the analysis.</w:t>
      </w:r>
    </w:p>
    <w:p w14:paraId="6961705A" w14:textId="5763CF9A" w:rsidR="00CB7716" w:rsidRPr="0025246D" w:rsidRDefault="00CB7716" w:rsidP="0025246D">
      <w:pPr>
        <w:pStyle w:val="Heading3"/>
        <w:numPr>
          <w:ilvl w:val="0"/>
          <w:numId w:val="0"/>
        </w:numPr>
        <w:ind w:left="720" w:hanging="720"/>
        <w:rPr>
          <w:sz w:val="28"/>
        </w:rPr>
      </w:pPr>
      <w:bookmarkStart w:id="382" w:name="_Toc104808625"/>
      <w:bookmarkStart w:id="383" w:name="_Toc107412721"/>
      <w:bookmarkStart w:id="384" w:name="_Toc109300469"/>
      <w:r w:rsidRPr="0025246D">
        <w:rPr>
          <w:sz w:val="28"/>
        </w:rPr>
        <w:t>Number of businesses</w:t>
      </w:r>
      <w:bookmarkEnd w:id="382"/>
      <w:bookmarkEnd w:id="383"/>
      <w:bookmarkEnd w:id="384"/>
    </w:p>
    <w:p w14:paraId="5A202BB3" w14:textId="77777777" w:rsidR="00CB7716" w:rsidRPr="00373F1A" w:rsidRDefault="00CB7716" w:rsidP="0000604C">
      <w:pPr>
        <w:spacing w:after="240"/>
      </w:pPr>
      <w:r>
        <w:t>Historically, FSANZ uses data from the Australian Bureau of Statistics (</w:t>
      </w:r>
      <w:r w:rsidDel="004F4C6E">
        <w:t>ABS)</w:t>
      </w:r>
      <w:r>
        <w:t xml:space="preserve"> when estimating business numbers. However, estimating business numbers was challenging in this project, as the categorisation of in-scope businesses do not align well with the ABS categorisation of food businesses. As an alternative, survey results were used from South Australia on the number of businesses in their jurisdiction in the respective categories. These were then scaled according to the population of each state and territory. This approach produced slightly higher business numbers for each category than attempts to manipulate the ABS statistics, which means costs are also higher. </w:t>
      </w:r>
    </w:p>
    <w:p w14:paraId="1F39474C" w14:textId="77777777" w:rsidR="00CB7716" w:rsidRPr="00052BFA" w:rsidRDefault="00CB7716" w:rsidP="00CB7716">
      <w:pPr>
        <w:pStyle w:val="FSTableFigureHeading"/>
        <w:ind w:left="0" w:firstLine="0"/>
        <w:rPr>
          <w:sz w:val="20"/>
          <w:szCs w:val="20"/>
        </w:rPr>
      </w:pPr>
      <w:r w:rsidRPr="00052BFA">
        <w:rPr>
          <w:sz w:val="20"/>
          <w:szCs w:val="20"/>
        </w:rPr>
        <w:lastRenderedPageBreak/>
        <w:t>Table 9: Number of Category 1 and 2 businesses per jurisdiction and percentage, by Australian population</w:t>
      </w:r>
    </w:p>
    <w:tbl>
      <w:tblPr>
        <w:tblStyle w:val="GridTable4-Accent5"/>
        <w:tblW w:w="9080" w:type="dxa"/>
        <w:tblLook w:val="04A0" w:firstRow="1" w:lastRow="0" w:firstColumn="1" w:lastColumn="0" w:noHBand="0" w:noVBand="1"/>
      </w:tblPr>
      <w:tblGrid>
        <w:gridCol w:w="2830"/>
        <w:gridCol w:w="1560"/>
        <w:gridCol w:w="1275"/>
        <w:gridCol w:w="1701"/>
        <w:gridCol w:w="1714"/>
      </w:tblGrid>
      <w:tr w:rsidR="00CB7716" w:rsidRPr="00373F1A" w14:paraId="44740781" w14:textId="77777777" w:rsidTr="00DE0E1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370FD35" w14:textId="1C55D133" w:rsidR="00CB7716" w:rsidRPr="00373F1A" w:rsidRDefault="00CB7716" w:rsidP="006E77ED">
            <w:pPr>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Jurisdictions</w:t>
            </w:r>
          </w:p>
        </w:tc>
        <w:tc>
          <w:tcPr>
            <w:tcW w:w="1560" w:type="dxa"/>
            <w:noWrap/>
            <w:hideMark/>
          </w:tcPr>
          <w:p w14:paraId="50AEC8D9" w14:textId="77777777" w:rsidR="00CB7716" w:rsidRPr="00373F1A" w:rsidRDefault="00CB7716" w:rsidP="006E77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Population</w:t>
            </w:r>
          </w:p>
        </w:tc>
        <w:tc>
          <w:tcPr>
            <w:tcW w:w="1275" w:type="dxa"/>
            <w:noWrap/>
            <w:hideMark/>
          </w:tcPr>
          <w:p w14:paraId="5C5C0A91" w14:textId="77777777" w:rsidR="00CB7716" w:rsidRPr="00373F1A" w:rsidRDefault="00CB7716" w:rsidP="006E77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 of Aus</w:t>
            </w:r>
            <w:r>
              <w:rPr>
                <w:rFonts w:ascii="Calibri" w:eastAsia="Times New Roman" w:hAnsi="Calibri" w:cs="Calibri"/>
                <w:color w:val="000000"/>
                <w:lang w:eastAsia="en-GB"/>
              </w:rPr>
              <w:t>tralia</w:t>
            </w:r>
          </w:p>
        </w:tc>
        <w:tc>
          <w:tcPr>
            <w:tcW w:w="1701" w:type="dxa"/>
            <w:noWrap/>
            <w:hideMark/>
          </w:tcPr>
          <w:p w14:paraId="520E3F6E" w14:textId="77777777" w:rsidR="00CB7716" w:rsidRPr="00373F1A" w:rsidRDefault="00CB7716" w:rsidP="006E77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Cat</w:t>
            </w:r>
            <w:r>
              <w:rPr>
                <w:rFonts w:ascii="Calibri" w:eastAsia="Times New Roman" w:hAnsi="Calibri" w:cs="Calibri"/>
                <w:color w:val="000000"/>
                <w:lang w:eastAsia="en-GB"/>
              </w:rPr>
              <w:t>egory</w:t>
            </w:r>
            <w:r w:rsidRPr="00373F1A">
              <w:rPr>
                <w:rFonts w:ascii="Calibri" w:eastAsia="Times New Roman" w:hAnsi="Calibri" w:cs="Calibri"/>
                <w:color w:val="000000"/>
                <w:lang w:eastAsia="en-GB"/>
              </w:rPr>
              <w:t xml:space="preserve"> 1 Business</w:t>
            </w:r>
          </w:p>
        </w:tc>
        <w:tc>
          <w:tcPr>
            <w:tcW w:w="1714" w:type="dxa"/>
            <w:noWrap/>
            <w:hideMark/>
          </w:tcPr>
          <w:p w14:paraId="07A4483D" w14:textId="77777777" w:rsidR="00CB7716" w:rsidRPr="00373F1A" w:rsidRDefault="00CB7716" w:rsidP="006E77E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Cat</w:t>
            </w:r>
            <w:r>
              <w:rPr>
                <w:rFonts w:ascii="Calibri" w:eastAsia="Times New Roman" w:hAnsi="Calibri" w:cs="Calibri"/>
                <w:color w:val="000000"/>
                <w:lang w:eastAsia="en-GB"/>
              </w:rPr>
              <w:t>egory</w:t>
            </w:r>
            <w:r w:rsidRPr="00373F1A">
              <w:rPr>
                <w:rFonts w:ascii="Calibri" w:eastAsia="Times New Roman" w:hAnsi="Calibri" w:cs="Calibri"/>
                <w:color w:val="000000"/>
                <w:lang w:eastAsia="en-GB"/>
              </w:rPr>
              <w:t xml:space="preserve"> 2 Business</w:t>
            </w:r>
          </w:p>
        </w:tc>
      </w:tr>
      <w:tr w:rsidR="00CB7716" w:rsidRPr="00373F1A" w14:paraId="4A0D3F75"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3250B44F"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NSW</w:t>
            </w:r>
          </w:p>
        </w:tc>
        <w:tc>
          <w:tcPr>
            <w:tcW w:w="1560" w:type="dxa"/>
            <w:hideMark/>
          </w:tcPr>
          <w:p w14:paraId="5D22095F"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8,172,505</w:t>
            </w:r>
          </w:p>
        </w:tc>
        <w:tc>
          <w:tcPr>
            <w:tcW w:w="1275" w:type="dxa"/>
            <w:noWrap/>
            <w:hideMark/>
          </w:tcPr>
          <w:p w14:paraId="7DCE7712"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31.8</w:t>
            </w:r>
          </w:p>
        </w:tc>
        <w:tc>
          <w:tcPr>
            <w:tcW w:w="1701" w:type="dxa"/>
            <w:noWrap/>
            <w:hideMark/>
          </w:tcPr>
          <w:p w14:paraId="74BAED84"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45,154</w:t>
            </w:r>
          </w:p>
        </w:tc>
        <w:tc>
          <w:tcPr>
            <w:tcW w:w="1714" w:type="dxa"/>
            <w:noWrap/>
            <w:hideMark/>
          </w:tcPr>
          <w:p w14:paraId="4236C415"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3,648</w:t>
            </w:r>
          </w:p>
        </w:tc>
      </w:tr>
      <w:tr w:rsidR="00CB7716" w:rsidRPr="00373F1A" w14:paraId="6E8AF7F4" w14:textId="77777777" w:rsidTr="00DE0E16">
        <w:trPr>
          <w:trHeight w:val="337"/>
        </w:trPr>
        <w:tc>
          <w:tcPr>
            <w:cnfStyle w:val="001000000000" w:firstRow="0" w:lastRow="0" w:firstColumn="1" w:lastColumn="0" w:oddVBand="0" w:evenVBand="0" w:oddHBand="0" w:evenHBand="0" w:firstRowFirstColumn="0" w:firstRowLastColumn="0" w:lastRowFirstColumn="0" w:lastRowLastColumn="0"/>
            <w:tcW w:w="2830" w:type="dxa"/>
            <w:hideMark/>
          </w:tcPr>
          <w:p w14:paraId="79483F92"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Victoria</w:t>
            </w:r>
          </w:p>
        </w:tc>
        <w:tc>
          <w:tcPr>
            <w:tcW w:w="1560" w:type="dxa"/>
            <w:hideMark/>
          </w:tcPr>
          <w:p w14:paraId="63BBBC99"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6,661,736</w:t>
            </w:r>
          </w:p>
        </w:tc>
        <w:tc>
          <w:tcPr>
            <w:tcW w:w="1275" w:type="dxa"/>
            <w:noWrap/>
            <w:hideMark/>
          </w:tcPr>
          <w:p w14:paraId="343F1D76"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25.9</w:t>
            </w:r>
          </w:p>
        </w:tc>
        <w:tc>
          <w:tcPr>
            <w:tcW w:w="1701" w:type="dxa"/>
            <w:noWrap/>
            <w:hideMark/>
          </w:tcPr>
          <w:p w14:paraId="745A1693"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36,807</w:t>
            </w:r>
          </w:p>
        </w:tc>
        <w:tc>
          <w:tcPr>
            <w:tcW w:w="1714" w:type="dxa"/>
            <w:noWrap/>
            <w:hideMark/>
          </w:tcPr>
          <w:p w14:paraId="3F20F605"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2,974</w:t>
            </w:r>
          </w:p>
        </w:tc>
      </w:tr>
      <w:tr w:rsidR="00CB7716" w:rsidRPr="00373F1A" w14:paraId="6633A31E"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6457392F"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Queensland</w:t>
            </w:r>
          </w:p>
        </w:tc>
        <w:tc>
          <w:tcPr>
            <w:tcW w:w="1560" w:type="dxa"/>
            <w:hideMark/>
          </w:tcPr>
          <w:p w14:paraId="0139AF7F"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5,194,879</w:t>
            </w:r>
          </w:p>
        </w:tc>
        <w:tc>
          <w:tcPr>
            <w:tcW w:w="1275" w:type="dxa"/>
            <w:noWrap/>
            <w:hideMark/>
          </w:tcPr>
          <w:p w14:paraId="1D0E5270"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20.2</w:t>
            </w:r>
          </w:p>
        </w:tc>
        <w:tc>
          <w:tcPr>
            <w:tcW w:w="1701" w:type="dxa"/>
            <w:noWrap/>
            <w:hideMark/>
          </w:tcPr>
          <w:p w14:paraId="497D481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28,702</w:t>
            </w:r>
          </w:p>
        </w:tc>
        <w:tc>
          <w:tcPr>
            <w:tcW w:w="1714" w:type="dxa"/>
            <w:noWrap/>
            <w:hideMark/>
          </w:tcPr>
          <w:p w14:paraId="66445311"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2,319</w:t>
            </w:r>
          </w:p>
        </w:tc>
      </w:tr>
      <w:tr w:rsidR="00CB7716" w:rsidRPr="00373F1A" w14:paraId="53244790" w14:textId="77777777" w:rsidTr="00DE0E16">
        <w:trPr>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66059DF9"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South Australia</w:t>
            </w:r>
          </w:p>
        </w:tc>
        <w:tc>
          <w:tcPr>
            <w:tcW w:w="1560" w:type="dxa"/>
            <w:hideMark/>
          </w:tcPr>
          <w:p w14:paraId="008A3EC4"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1,770,790</w:t>
            </w:r>
          </w:p>
        </w:tc>
        <w:tc>
          <w:tcPr>
            <w:tcW w:w="1275" w:type="dxa"/>
            <w:noWrap/>
            <w:hideMark/>
          </w:tcPr>
          <w:p w14:paraId="5296887E"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6.9</w:t>
            </w:r>
          </w:p>
        </w:tc>
        <w:tc>
          <w:tcPr>
            <w:tcW w:w="1701" w:type="dxa"/>
            <w:noWrap/>
            <w:hideMark/>
          </w:tcPr>
          <w:p w14:paraId="73FF38D1"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9,784</w:t>
            </w:r>
          </w:p>
        </w:tc>
        <w:tc>
          <w:tcPr>
            <w:tcW w:w="1714" w:type="dxa"/>
            <w:noWrap/>
            <w:hideMark/>
          </w:tcPr>
          <w:p w14:paraId="21339693"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790</w:t>
            </w:r>
          </w:p>
        </w:tc>
      </w:tr>
      <w:tr w:rsidR="00CB7716" w:rsidRPr="00373F1A" w14:paraId="4D5B847E"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31DA4810"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Western Australia</w:t>
            </w:r>
          </w:p>
        </w:tc>
        <w:tc>
          <w:tcPr>
            <w:tcW w:w="1560" w:type="dxa"/>
            <w:hideMark/>
          </w:tcPr>
          <w:p w14:paraId="1E0B651B"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2,670,241</w:t>
            </w:r>
          </w:p>
        </w:tc>
        <w:tc>
          <w:tcPr>
            <w:tcW w:w="1275" w:type="dxa"/>
            <w:noWrap/>
            <w:hideMark/>
          </w:tcPr>
          <w:p w14:paraId="363287B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10.4</w:t>
            </w:r>
          </w:p>
        </w:tc>
        <w:tc>
          <w:tcPr>
            <w:tcW w:w="1701" w:type="dxa"/>
            <w:noWrap/>
            <w:hideMark/>
          </w:tcPr>
          <w:p w14:paraId="4B8E29B6"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14,753</w:t>
            </w:r>
          </w:p>
        </w:tc>
        <w:tc>
          <w:tcPr>
            <w:tcW w:w="1714" w:type="dxa"/>
            <w:noWrap/>
            <w:hideMark/>
          </w:tcPr>
          <w:p w14:paraId="27E312F8"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1,192</w:t>
            </w:r>
          </w:p>
        </w:tc>
      </w:tr>
      <w:tr w:rsidR="00CB7716" w:rsidRPr="00373F1A" w14:paraId="169A34DB" w14:textId="77777777" w:rsidTr="00DE0E16">
        <w:trPr>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4AF6ABCA"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Tasmania</w:t>
            </w:r>
          </w:p>
        </w:tc>
        <w:tc>
          <w:tcPr>
            <w:tcW w:w="1560" w:type="dxa"/>
            <w:hideMark/>
          </w:tcPr>
          <w:p w14:paraId="7429524D"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541,506</w:t>
            </w:r>
          </w:p>
        </w:tc>
        <w:tc>
          <w:tcPr>
            <w:tcW w:w="1275" w:type="dxa"/>
            <w:noWrap/>
            <w:hideMark/>
          </w:tcPr>
          <w:p w14:paraId="70473FB8"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1701" w:type="dxa"/>
            <w:noWrap/>
            <w:hideMark/>
          </w:tcPr>
          <w:p w14:paraId="78645779"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2,992</w:t>
            </w:r>
          </w:p>
        </w:tc>
        <w:tc>
          <w:tcPr>
            <w:tcW w:w="1714" w:type="dxa"/>
            <w:noWrap/>
            <w:hideMark/>
          </w:tcPr>
          <w:p w14:paraId="3C7CB0DF"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242</w:t>
            </w:r>
          </w:p>
        </w:tc>
      </w:tr>
      <w:tr w:rsidR="00CB7716" w:rsidRPr="00373F1A" w14:paraId="59155189" w14:textId="77777777" w:rsidTr="00DE0E1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34EA60DE"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ACT</w:t>
            </w:r>
          </w:p>
        </w:tc>
        <w:tc>
          <w:tcPr>
            <w:tcW w:w="1560" w:type="dxa"/>
            <w:hideMark/>
          </w:tcPr>
          <w:p w14:paraId="1E92FE0A"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431,484</w:t>
            </w:r>
          </w:p>
        </w:tc>
        <w:tc>
          <w:tcPr>
            <w:tcW w:w="1275" w:type="dxa"/>
            <w:noWrap/>
            <w:hideMark/>
          </w:tcPr>
          <w:p w14:paraId="082893D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701" w:type="dxa"/>
            <w:noWrap/>
            <w:hideMark/>
          </w:tcPr>
          <w:p w14:paraId="17BD2AA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2,384</w:t>
            </w:r>
          </w:p>
        </w:tc>
        <w:tc>
          <w:tcPr>
            <w:tcW w:w="1714" w:type="dxa"/>
            <w:noWrap/>
            <w:hideMark/>
          </w:tcPr>
          <w:p w14:paraId="4F1AFAD3"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193</w:t>
            </w:r>
          </w:p>
        </w:tc>
      </w:tr>
      <w:tr w:rsidR="00CB7716" w:rsidRPr="00373F1A" w14:paraId="78823D11" w14:textId="77777777" w:rsidTr="00DE0E16">
        <w:trPr>
          <w:trHeight w:val="371"/>
        </w:trPr>
        <w:tc>
          <w:tcPr>
            <w:cnfStyle w:val="001000000000" w:firstRow="0" w:lastRow="0" w:firstColumn="1" w:lastColumn="0" w:oddVBand="0" w:evenVBand="0" w:oddHBand="0" w:evenHBand="0" w:firstRowFirstColumn="0" w:firstRowLastColumn="0" w:lastRowFirstColumn="0" w:lastRowLastColumn="0"/>
            <w:tcW w:w="2830" w:type="dxa"/>
            <w:hideMark/>
          </w:tcPr>
          <w:p w14:paraId="21E5C94A"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Northern Territory</w:t>
            </w:r>
          </w:p>
        </w:tc>
        <w:tc>
          <w:tcPr>
            <w:tcW w:w="1560" w:type="dxa"/>
            <w:hideMark/>
          </w:tcPr>
          <w:p w14:paraId="0767F188"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246,561</w:t>
            </w:r>
          </w:p>
        </w:tc>
        <w:tc>
          <w:tcPr>
            <w:tcW w:w="1275" w:type="dxa"/>
            <w:noWrap/>
            <w:hideMark/>
          </w:tcPr>
          <w:p w14:paraId="39A9931F"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701" w:type="dxa"/>
            <w:noWrap/>
            <w:hideMark/>
          </w:tcPr>
          <w:p w14:paraId="397DE640"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1,362</w:t>
            </w:r>
          </w:p>
        </w:tc>
        <w:tc>
          <w:tcPr>
            <w:tcW w:w="1714" w:type="dxa"/>
            <w:noWrap/>
            <w:hideMark/>
          </w:tcPr>
          <w:p w14:paraId="2DF704DC"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110</w:t>
            </w:r>
          </w:p>
        </w:tc>
      </w:tr>
      <w:tr w:rsidR="00CB7716" w:rsidRPr="00373F1A" w14:paraId="3363E51C"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376DAA84" w14:textId="77777777" w:rsidR="00CB7716" w:rsidRPr="0042757B" w:rsidRDefault="00CB7716" w:rsidP="00CB7716">
            <w:pPr>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Australia</w:t>
            </w:r>
          </w:p>
        </w:tc>
        <w:tc>
          <w:tcPr>
            <w:tcW w:w="1560" w:type="dxa"/>
            <w:noWrap/>
            <w:hideMark/>
          </w:tcPr>
          <w:p w14:paraId="05334ED1"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25,689,702</w:t>
            </w:r>
          </w:p>
        </w:tc>
        <w:tc>
          <w:tcPr>
            <w:tcW w:w="1275" w:type="dxa"/>
            <w:noWrap/>
            <w:hideMark/>
          </w:tcPr>
          <w:p w14:paraId="1C6358A2" w14:textId="77777777" w:rsidR="00CB7716" w:rsidRPr="00373F1A" w:rsidRDefault="00CB7716" w:rsidP="00CB771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 </w:t>
            </w:r>
          </w:p>
        </w:tc>
        <w:tc>
          <w:tcPr>
            <w:tcW w:w="1701" w:type="dxa"/>
            <w:noWrap/>
            <w:hideMark/>
          </w:tcPr>
          <w:p w14:paraId="2A4BF4E0"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141,938</w:t>
            </w:r>
          </w:p>
        </w:tc>
        <w:tc>
          <w:tcPr>
            <w:tcW w:w="1714" w:type="dxa"/>
            <w:noWrap/>
            <w:hideMark/>
          </w:tcPr>
          <w:p w14:paraId="3EFE0DCA"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11,467</w:t>
            </w:r>
          </w:p>
        </w:tc>
      </w:tr>
    </w:tbl>
    <w:p w14:paraId="1A593E23" w14:textId="361668FF" w:rsidR="00CB7716" w:rsidRPr="0025246D" w:rsidRDefault="00CB7716" w:rsidP="0025246D">
      <w:pPr>
        <w:pStyle w:val="Heading3"/>
        <w:numPr>
          <w:ilvl w:val="0"/>
          <w:numId w:val="0"/>
        </w:numPr>
        <w:ind w:left="720" w:hanging="720"/>
        <w:rPr>
          <w:sz w:val="28"/>
        </w:rPr>
      </w:pPr>
      <w:bookmarkStart w:id="385" w:name="_Toc104808626"/>
      <w:bookmarkStart w:id="386" w:name="_Toc107412722"/>
      <w:bookmarkStart w:id="387" w:name="_Toc109300470"/>
      <w:r w:rsidRPr="0025246D">
        <w:rPr>
          <w:sz w:val="28"/>
        </w:rPr>
        <w:t>Number of illnesses from in-scope food business settings</w:t>
      </w:r>
      <w:bookmarkEnd w:id="385"/>
      <w:bookmarkEnd w:id="386"/>
      <w:bookmarkEnd w:id="387"/>
    </w:p>
    <w:p w14:paraId="6CB18BD2" w14:textId="77777777" w:rsidR="00CB7716" w:rsidRPr="00373F1A" w:rsidRDefault="00CB7716" w:rsidP="0000604C">
      <w:pPr>
        <w:spacing w:after="240"/>
      </w:pPr>
      <w:r>
        <w:t xml:space="preserve">Avoiding cases of foodborne illness is the principal benefit that will arise from this project. The per cost case was taken from the Australian National University cost modelling work completed for FSANZ to update, extend and increase the sophistication of in-house modelling. The cost estimates in our CRIS were revised for this DRIS based on our updated model. </w:t>
      </w:r>
    </w:p>
    <w:p w14:paraId="724DDF96" w14:textId="5E2C57D0" w:rsidR="00CB7716" w:rsidRPr="00373F1A" w:rsidRDefault="00CB7716" w:rsidP="0000604C">
      <w:pPr>
        <w:spacing w:after="240"/>
      </w:pPr>
      <w:r>
        <w:t xml:space="preserve">The number of cases of foodborne illness was estimated using the methodology described in Kirk et al. (2014). Model inputs were updated to circa 2020, using data from national and jurisdictional notifiable disease and population statistics. Attribution of cases to relevant food service settings was based on evidence from Australian outbreaks identified by </w:t>
      </w:r>
      <w:proofErr w:type="spellStart"/>
      <w:r>
        <w:t>OzFoodNet</w:t>
      </w:r>
      <w:proofErr w:type="spellEnd"/>
      <w:r>
        <w:t>.</w:t>
      </w:r>
    </w:p>
    <w:p w14:paraId="308777B4" w14:textId="7E734876" w:rsidR="00CB7716" w:rsidRDefault="00CB7716" w:rsidP="0000604C">
      <w:pPr>
        <w:spacing w:after="240"/>
        <w:rPr>
          <w:rFonts w:cs="Arial"/>
        </w:rPr>
      </w:pPr>
      <w:r w:rsidRPr="00373F1A">
        <w:rPr>
          <w:rFonts w:cs="Arial"/>
        </w:rPr>
        <w:t>The cost estimates represent a significant increase to those previously estimated circ</w:t>
      </w:r>
      <w:r>
        <w:rPr>
          <w:rFonts w:cs="Arial"/>
        </w:rPr>
        <w:t>a 2010 (by Kirk et al., 2014</w:t>
      </w:r>
      <w:r w:rsidRPr="00373F1A">
        <w:rPr>
          <w:rFonts w:cs="Arial"/>
        </w:rPr>
        <w:t>). This is a result of an increase in the esti</w:t>
      </w:r>
      <w:r>
        <w:rPr>
          <w:rFonts w:cs="Arial"/>
        </w:rPr>
        <w:t>mated number of illnesses due to several factors, including</w:t>
      </w:r>
      <w:r w:rsidRPr="00373F1A">
        <w:rPr>
          <w:rFonts w:cs="Arial"/>
        </w:rPr>
        <w:t xml:space="preserve"> an increase in population, increases in notifications in salmonellosis and campylobacteriosis</w:t>
      </w:r>
      <w:r>
        <w:rPr>
          <w:rFonts w:cs="Arial"/>
        </w:rPr>
        <w:t>,</w:t>
      </w:r>
      <w:r w:rsidRPr="00373F1A">
        <w:rPr>
          <w:rFonts w:cs="Arial"/>
        </w:rPr>
        <w:t xml:space="preserve"> and inclusion of costs associated with sequela</w:t>
      </w:r>
      <w:r>
        <w:rPr>
          <w:rStyle w:val="FootnoteReference"/>
          <w:rFonts w:cs="Arial"/>
        </w:rPr>
        <w:footnoteReference w:id="41"/>
      </w:r>
      <w:r>
        <w:rPr>
          <w:rFonts w:cs="Arial"/>
        </w:rPr>
        <w:t xml:space="preserve">. </w:t>
      </w:r>
    </w:p>
    <w:p w14:paraId="5807F1C1" w14:textId="77777777" w:rsidR="00CB7716" w:rsidRPr="00052BFA" w:rsidRDefault="00CB7716" w:rsidP="00CB7716">
      <w:pPr>
        <w:pStyle w:val="FSTableFigureHeading"/>
        <w:rPr>
          <w:sz w:val="20"/>
        </w:rPr>
      </w:pPr>
      <w:r w:rsidRPr="00052BFA">
        <w:rPr>
          <w:sz w:val="20"/>
        </w:rPr>
        <w:t>Table 10: Estimated illness and cost for Category 1 food businesses, by pathogen</w:t>
      </w:r>
    </w:p>
    <w:tbl>
      <w:tblPr>
        <w:tblStyle w:val="GridTable4-Accent4"/>
        <w:tblW w:w="8926" w:type="dxa"/>
        <w:tblLook w:val="04A0" w:firstRow="1" w:lastRow="0" w:firstColumn="1" w:lastColumn="0" w:noHBand="0" w:noVBand="1"/>
      </w:tblPr>
      <w:tblGrid>
        <w:gridCol w:w="1920"/>
        <w:gridCol w:w="2186"/>
        <w:gridCol w:w="2410"/>
        <w:gridCol w:w="2410"/>
      </w:tblGrid>
      <w:tr w:rsidR="00CB7716" w:rsidRPr="00373F1A" w14:paraId="76932540" w14:textId="77777777" w:rsidTr="00DE0E1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20" w:type="dxa"/>
            <w:hideMark/>
          </w:tcPr>
          <w:p w14:paraId="43D27040" w14:textId="77777777" w:rsidR="00CB7716" w:rsidRPr="00373F1A" w:rsidRDefault="00CB7716" w:rsidP="00CB7716">
            <w:pPr>
              <w:jc w:val="center"/>
              <w:rPr>
                <w:rFonts w:ascii="Calibri" w:hAnsi="Calibri" w:cs="Calibri"/>
                <w:color w:val="FFFFFF"/>
                <w:lang w:eastAsia="en-GB"/>
              </w:rPr>
            </w:pPr>
            <w:r w:rsidRPr="00373F1A">
              <w:rPr>
                <w:rFonts w:ascii="Calibri" w:hAnsi="Calibri" w:cs="Calibri"/>
                <w:color w:val="FFFFFF"/>
                <w:lang w:eastAsia="en-GB"/>
              </w:rPr>
              <w:t>Pathogen</w:t>
            </w:r>
          </w:p>
        </w:tc>
        <w:tc>
          <w:tcPr>
            <w:tcW w:w="2186" w:type="dxa"/>
            <w:hideMark/>
          </w:tcPr>
          <w:p w14:paraId="7B2919BE"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 xml:space="preserve">Number of cases </w:t>
            </w:r>
          </w:p>
        </w:tc>
        <w:tc>
          <w:tcPr>
            <w:tcW w:w="2410" w:type="dxa"/>
            <w:hideMark/>
          </w:tcPr>
          <w:p w14:paraId="72CD8DB3"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Average cost per case ($)</w:t>
            </w:r>
          </w:p>
        </w:tc>
        <w:tc>
          <w:tcPr>
            <w:tcW w:w="2410" w:type="dxa"/>
            <w:hideMark/>
          </w:tcPr>
          <w:p w14:paraId="52C1F9A6"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Cost per annum ($)</w:t>
            </w:r>
          </w:p>
        </w:tc>
      </w:tr>
      <w:tr w:rsidR="00CB7716" w:rsidRPr="00373F1A" w14:paraId="5C41E703"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6090130" w14:textId="77777777" w:rsidR="00CB7716" w:rsidRPr="00D56FE7" w:rsidRDefault="00CB7716" w:rsidP="00CB7716">
            <w:pPr>
              <w:jc w:val="center"/>
              <w:rPr>
                <w:rFonts w:ascii="Calibri" w:hAnsi="Calibri" w:cs="Calibri"/>
                <w:b w:val="0"/>
                <w:bCs w:val="0"/>
                <w:i/>
                <w:iCs/>
                <w:color w:val="000000"/>
                <w:lang w:eastAsia="en-GB"/>
              </w:rPr>
            </w:pPr>
            <w:r w:rsidRPr="68C0CA2D">
              <w:rPr>
                <w:rFonts w:ascii="Calibri" w:hAnsi="Calibri" w:cs="Calibri"/>
                <w:b w:val="0"/>
                <w:bCs w:val="0"/>
                <w:i/>
                <w:iCs/>
                <w:color w:val="000000" w:themeColor="text1"/>
                <w:lang w:eastAsia="en-GB"/>
              </w:rPr>
              <w:t>Salmonella</w:t>
            </w:r>
          </w:p>
        </w:tc>
        <w:tc>
          <w:tcPr>
            <w:tcW w:w="2186" w:type="dxa"/>
            <w:noWrap/>
            <w:hideMark/>
          </w:tcPr>
          <w:p w14:paraId="227F4882"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50,175</w:t>
            </w:r>
          </w:p>
        </w:tc>
        <w:tc>
          <w:tcPr>
            <w:tcW w:w="2410" w:type="dxa"/>
            <w:noWrap/>
            <w:hideMark/>
          </w:tcPr>
          <w:p w14:paraId="080D744D"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2,270 </w:t>
            </w:r>
          </w:p>
        </w:tc>
        <w:tc>
          <w:tcPr>
            <w:tcW w:w="2410" w:type="dxa"/>
            <w:noWrap/>
            <w:hideMark/>
          </w:tcPr>
          <w:p w14:paraId="073375FC" w14:textId="6962D398" w:rsidR="00CB7716" w:rsidRPr="00373F1A" w:rsidRDefault="0081747A"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themeColor="text1"/>
                <w:lang w:eastAsia="en-GB"/>
              </w:rPr>
              <w:t xml:space="preserve"> </w:t>
            </w:r>
            <w:r w:rsidR="00CB7716" w:rsidRPr="68C0CA2D">
              <w:rPr>
                <w:rFonts w:ascii="Calibri" w:hAnsi="Calibri" w:cs="Calibri"/>
                <w:color w:val="000000" w:themeColor="text1"/>
                <w:lang w:eastAsia="en-GB"/>
              </w:rPr>
              <w:t>113,897,</w:t>
            </w:r>
            <w:r w:rsidR="00CB7716" w:rsidRPr="48861835">
              <w:rPr>
                <w:rFonts w:ascii="Calibri" w:hAnsi="Calibri" w:cs="Calibri"/>
                <w:color w:val="000000" w:themeColor="text1"/>
                <w:lang w:eastAsia="en-GB"/>
              </w:rPr>
              <w:t>250</w:t>
            </w:r>
            <w:r w:rsidR="00CB7716" w:rsidRPr="68C0CA2D">
              <w:rPr>
                <w:rFonts w:ascii="Calibri" w:hAnsi="Calibri" w:cs="Calibri"/>
                <w:color w:val="000000" w:themeColor="text1"/>
                <w:lang w:eastAsia="en-GB"/>
              </w:rPr>
              <w:t xml:space="preserve"> </w:t>
            </w:r>
          </w:p>
        </w:tc>
      </w:tr>
      <w:tr w:rsidR="00CB7716" w:rsidRPr="00373F1A" w14:paraId="1FF9A6CD" w14:textId="77777777" w:rsidTr="00DE0E16">
        <w:trPr>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67484D35" w14:textId="77777777" w:rsidR="00CB7716" w:rsidRPr="00D56FE7" w:rsidRDefault="00CB7716" w:rsidP="00CB7716">
            <w:pPr>
              <w:jc w:val="center"/>
              <w:rPr>
                <w:rFonts w:ascii="Calibri" w:hAnsi="Calibri" w:cs="Calibri"/>
                <w:b w:val="0"/>
                <w:bCs w:val="0"/>
                <w:i/>
                <w:iCs/>
                <w:color w:val="000000"/>
                <w:lang w:eastAsia="en-GB"/>
              </w:rPr>
            </w:pPr>
            <w:r w:rsidRPr="68C0CA2D">
              <w:rPr>
                <w:rFonts w:ascii="Calibri" w:hAnsi="Calibri" w:cs="Calibri"/>
                <w:b w:val="0"/>
                <w:bCs w:val="0"/>
                <w:i/>
                <w:iCs/>
                <w:color w:val="000000" w:themeColor="text1"/>
                <w:lang w:eastAsia="en-GB"/>
              </w:rPr>
              <w:t>Campylobacter</w:t>
            </w:r>
          </w:p>
        </w:tc>
        <w:tc>
          <w:tcPr>
            <w:tcW w:w="2186" w:type="dxa"/>
            <w:noWrap/>
            <w:hideMark/>
          </w:tcPr>
          <w:p w14:paraId="5BC6D267"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200,570</w:t>
            </w:r>
          </w:p>
        </w:tc>
        <w:tc>
          <w:tcPr>
            <w:tcW w:w="2410" w:type="dxa"/>
            <w:noWrap/>
            <w:hideMark/>
          </w:tcPr>
          <w:p w14:paraId="7582A5B0"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1,390 </w:t>
            </w:r>
          </w:p>
        </w:tc>
        <w:tc>
          <w:tcPr>
            <w:tcW w:w="2410" w:type="dxa"/>
            <w:noWrap/>
            <w:hideMark/>
          </w:tcPr>
          <w:p w14:paraId="301B3CD6" w14:textId="6C3BE54C" w:rsidR="00CB7716" w:rsidRPr="00373F1A" w:rsidRDefault="0081747A"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Pr>
                <w:rFonts w:ascii="Calibri" w:hAnsi="Calibri" w:cs="Calibri"/>
                <w:color w:val="000000" w:themeColor="text1"/>
                <w:lang w:eastAsia="en-GB"/>
              </w:rPr>
              <w:t xml:space="preserve"> </w:t>
            </w:r>
            <w:r w:rsidR="00CB7716" w:rsidRPr="68C0CA2D">
              <w:rPr>
                <w:rFonts w:ascii="Calibri" w:hAnsi="Calibri" w:cs="Calibri"/>
                <w:color w:val="000000" w:themeColor="text1"/>
                <w:lang w:eastAsia="en-GB"/>
              </w:rPr>
              <w:t>278,792,</w:t>
            </w:r>
            <w:r w:rsidR="00CB7716" w:rsidRPr="48861835">
              <w:rPr>
                <w:rFonts w:ascii="Calibri" w:hAnsi="Calibri" w:cs="Calibri"/>
                <w:color w:val="000000" w:themeColor="text1"/>
                <w:lang w:eastAsia="en-GB"/>
              </w:rPr>
              <w:t>300</w:t>
            </w:r>
            <w:r w:rsidR="00CB7716" w:rsidRPr="68C0CA2D">
              <w:rPr>
                <w:rFonts w:ascii="Calibri" w:hAnsi="Calibri" w:cs="Calibri"/>
                <w:color w:val="000000" w:themeColor="text1"/>
                <w:lang w:eastAsia="en-GB"/>
              </w:rPr>
              <w:t xml:space="preserve"> </w:t>
            </w:r>
          </w:p>
        </w:tc>
      </w:tr>
      <w:tr w:rsidR="00CB7716" w:rsidRPr="00373F1A" w14:paraId="1D27CAFB" w14:textId="77777777" w:rsidTr="00DE0E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4780BDC5" w14:textId="77777777" w:rsidR="00CB7716" w:rsidRPr="00D56FE7" w:rsidRDefault="00CB7716" w:rsidP="00CB7716">
            <w:pPr>
              <w:jc w:val="center"/>
              <w:rPr>
                <w:rFonts w:ascii="Calibri" w:hAnsi="Calibri" w:cs="Calibri"/>
                <w:b w:val="0"/>
                <w:bCs w:val="0"/>
                <w:color w:val="000000"/>
                <w:lang w:eastAsia="en-GB"/>
              </w:rPr>
            </w:pPr>
            <w:r w:rsidRPr="68C0CA2D">
              <w:rPr>
                <w:rFonts w:ascii="Calibri" w:hAnsi="Calibri" w:cs="Calibri"/>
                <w:b w:val="0"/>
                <w:bCs w:val="0"/>
                <w:color w:val="000000" w:themeColor="text1"/>
                <w:lang w:eastAsia="en-GB"/>
              </w:rPr>
              <w:t>Norovirus</w:t>
            </w:r>
          </w:p>
        </w:tc>
        <w:tc>
          <w:tcPr>
            <w:tcW w:w="2186" w:type="dxa"/>
            <w:noWrap/>
            <w:hideMark/>
          </w:tcPr>
          <w:p w14:paraId="30FD0A5B"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2,728,789</w:t>
            </w:r>
          </w:p>
        </w:tc>
        <w:tc>
          <w:tcPr>
            <w:tcW w:w="2410" w:type="dxa"/>
            <w:noWrap/>
            <w:hideMark/>
          </w:tcPr>
          <w:p w14:paraId="76830C16"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396 </w:t>
            </w:r>
          </w:p>
        </w:tc>
        <w:tc>
          <w:tcPr>
            <w:tcW w:w="2410" w:type="dxa"/>
            <w:noWrap/>
            <w:hideMark/>
          </w:tcPr>
          <w:p w14:paraId="1C73AFB1" w14:textId="60F66E74" w:rsidR="00CB7716" w:rsidRPr="00373F1A" w:rsidRDefault="0081747A"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themeColor="text1"/>
                <w:lang w:eastAsia="en-GB"/>
              </w:rPr>
              <w:t xml:space="preserve"> </w:t>
            </w:r>
            <w:r w:rsidR="00CB7716" w:rsidRPr="68C0CA2D">
              <w:rPr>
                <w:rFonts w:ascii="Calibri" w:hAnsi="Calibri" w:cs="Calibri"/>
                <w:color w:val="000000" w:themeColor="text1"/>
                <w:lang w:eastAsia="en-GB"/>
              </w:rPr>
              <w:t>1,080,600,</w:t>
            </w:r>
            <w:r w:rsidR="00CB7716" w:rsidRPr="48861835">
              <w:rPr>
                <w:rFonts w:ascii="Calibri" w:hAnsi="Calibri" w:cs="Calibri"/>
                <w:color w:val="000000" w:themeColor="text1"/>
                <w:lang w:eastAsia="en-GB"/>
              </w:rPr>
              <w:t>444</w:t>
            </w:r>
            <w:r w:rsidR="00CB7716" w:rsidRPr="68C0CA2D">
              <w:rPr>
                <w:rFonts w:ascii="Calibri" w:hAnsi="Calibri" w:cs="Calibri"/>
                <w:color w:val="000000" w:themeColor="text1"/>
                <w:lang w:eastAsia="en-GB"/>
              </w:rPr>
              <w:t xml:space="preserve"> </w:t>
            </w:r>
          </w:p>
        </w:tc>
      </w:tr>
      <w:tr w:rsidR="00CB7716" w:rsidRPr="00373F1A" w14:paraId="0242677C" w14:textId="77777777" w:rsidTr="00DE0E16">
        <w:trPr>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1AA2C312" w14:textId="77777777" w:rsidR="00CB7716" w:rsidRPr="00D56FE7" w:rsidRDefault="00CB7716" w:rsidP="00CB7716">
            <w:pPr>
              <w:jc w:val="center"/>
              <w:rPr>
                <w:rFonts w:ascii="Calibri" w:hAnsi="Calibri" w:cs="Calibri"/>
                <w:b w:val="0"/>
                <w:bCs w:val="0"/>
                <w:i/>
                <w:iCs/>
                <w:color w:val="000000"/>
                <w:lang w:eastAsia="en-GB"/>
              </w:rPr>
            </w:pPr>
            <w:r w:rsidRPr="68C0CA2D">
              <w:rPr>
                <w:rFonts w:ascii="Calibri" w:hAnsi="Calibri" w:cs="Calibri"/>
                <w:b w:val="0"/>
                <w:bCs w:val="0"/>
                <w:i/>
                <w:iCs/>
                <w:color w:val="000000" w:themeColor="text1"/>
                <w:lang w:eastAsia="en-GB"/>
              </w:rPr>
              <w:t>Listeria</w:t>
            </w:r>
          </w:p>
        </w:tc>
        <w:tc>
          <w:tcPr>
            <w:tcW w:w="2186" w:type="dxa"/>
            <w:noWrap/>
            <w:hideMark/>
          </w:tcPr>
          <w:p w14:paraId="712252BE"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6</w:t>
            </w:r>
          </w:p>
        </w:tc>
        <w:tc>
          <w:tcPr>
            <w:tcW w:w="2410" w:type="dxa"/>
            <w:noWrap/>
            <w:hideMark/>
          </w:tcPr>
          <w:p w14:paraId="4CCD2E9F"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785,000 </w:t>
            </w:r>
          </w:p>
        </w:tc>
        <w:tc>
          <w:tcPr>
            <w:tcW w:w="2410" w:type="dxa"/>
            <w:noWrap/>
            <w:hideMark/>
          </w:tcPr>
          <w:p w14:paraId="76825D4E"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 xml:space="preserve"> 4,710,</w:t>
            </w:r>
            <w:r w:rsidRPr="48861835">
              <w:rPr>
                <w:rFonts w:ascii="Calibri" w:hAnsi="Calibri" w:cs="Calibri"/>
                <w:color w:val="000000" w:themeColor="text1"/>
                <w:lang w:eastAsia="en-GB"/>
              </w:rPr>
              <w:t>000</w:t>
            </w:r>
            <w:r w:rsidRPr="68C0CA2D">
              <w:rPr>
                <w:rFonts w:ascii="Calibri" w:hAnsi="Calibri" w:cs="Calibri"/>
                <w:color w:val="000000" w:themeColor="text1"/>
                <w:lang w:eastAsia="en-GB"/>
              </w:rPr>
              <w:t xml:space="preserve"> </w:t>
            </w:r>
          </w:p>
        </w:tc>
      </w:tr>
      <w:tr w:rsidR="00CB7716" w:rsidRPr="00373F1A" w14:paraId="0F61807C" w14:textId="77777777" w:rsidTr="00DE0E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4888B41F" w14:textId="77777777" w:rsidR="00CB7716" w:rsidRPr="00D56FE7" w:rsidRDefault="00CB7716" w:rsidP="00CB7716">
            <w:pPr>
              <w:jc w:val="center"/>
              <w:rPr>
                <w:rFonts w:ascii="Calibri" w:hAnsi="Calibri" w:cs="Calibri"/>
                <w:b w:val="0"/>
                <w:bCs w:val="0"/>
                <w:color w:val="000000"/>
                <w:lang w:eastAsia="en-GB"/>
              </w:rPr>
            </w:pPr>
            <w:r w:rsidRPr="68C0CA2D">
              <w:rPr>
                <w:rFonts w:ascii="Calibri" w:hAnsi="Calibri" w:cs="Calibri"/>
                <w:b w:val="0"/>
                <w:bCs w:val="0"/>
                <w:color w:val="000000" w:themeColor="text1"/>
                <w:lang w:eastAsia="en-GB"/>
              </w:rPr>
              <w:t>STEC</w:t>
            </w:r>
          </w:p>
        </w:tc>
        <w:tc>
          <w:tcPr>
            <w:tcW w:w="2186" w:type="dxa"/>
            <w:noWrap/>
            <w:hideMark/>
          </w:tcPr>
          <w:p w14:paraId="3F72EC52"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68C0CA2D">
              <w:rPr>
                <w:rFonts w:ascii="Calibri" w:hAnsi="Calibri" w:cs="Calibri"/>
                <w:color w:val="000000" w:themeColor="text1"/>
                <w:lang w:eastAsia="en-GB"/>
              </w:rPr>
              <w:t>11,130</w:t>
            </w:r>
          </w:p>
        </w:tc>
        <w:tc>
          <w:tcPr>
            <w:tcW w:w="2410" w:type="dxa"/>
            <w:noWrap/>
            <w:hideMark/>
          </w:tcPr>
          <w:p w14:paraId="36E0D537"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4,330 </w:t>
            </w:r>
          </w:p>
        </w:tc>
        <w:tc>
          <w:tcPr>
            <w:tcW w:w="2410" w:type="dxa"/>
            <w:noWrap/>
            <w:hideMark/>
          </w:tcPr>
          <w:p w14:paraId="6A606722" w14:textId="76C66243" w:rsidR="00CB7716" w:rsidRPr="00373F1A" w:rsidRDefault="0081747A"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Pr>
                <w:rFonts w:ascii="Calibri" w:hAnsi="Calibri" w:cs="Calibri"/>
                <w:color w:val="000000" w:themeColor="text1"/>
                <w:lang w:eastAsia="en-GB"/>
              </w:rPr>
              <w:t xml:space="preserve"> </w:t>
            </w:r>
            <w:r w:rsidR="00CB7716" w:rsidRPr="68C0CA2D">
              <w:rPr>
                <w:rFonts w:ascii="Calibri" w:hAnsi="Calibri" w:cs="Calibri"/>
                <w:color w:val="000000" w:themeColor="text1"/>
                <w:lang w:eastAsia="en-GB"/>
              </w:rPr>
              <w:t>48,192,</w:t>
            </w:r>
            <w:r w:rsidR="00CB7716" w:rsidRPr="48861835">
              <w:rPr>
                <w:rFonts w:ascii="Calibri" w:hAnsi="Calibri" w:cs="Calibri"/>
                <w:color w:val="000000" w:themeColor="text1"/>
                <w:lang w:eastAsia="en-GB"/>
              </w:rPr>
              <w:t>900</w:t>
            </w:r>
            <w:r w:rsidR="00CB7716" w:rsidRPr="68C0CA2D">
              <w:rPr>
                <w:rFonts w:ascii="Calibri" w:hAnsi="Calibri" w:cs="Calibri"/>
                <w:color w:val="000000" w:themeColor="text1"/>
                <w:lang w:eastAsia="en-GB"/>
              </w:rPr>
              <w:t xml:space="preserve"> </w:t>
            </w:r>
          </w:p>
        </w:tc>
      </w:tr>
      <w:tr w:rsidR="00CB7716" w:rsidRPr="00373F1A" w14:paraId="1762504E" w14:textId="77777777" w:rsidTr="00DE0E16">
        <w:trPr>
          <w:trHeight w:val="306"/>
        </w:trPr>
        <w:tc>
          <w:tcPr>
            <w:cnfStyle w:val="001000000000" w:firstRow="0" w:lastRow="0" w:firstColumn="1" w:lastColumn="0" w:oddVBand="0" w:evenVBand="0" w:oddHBand="0" w:evenHBand="0" w:firstRowFirstColumn="0" w:firstRowLastColumn="0" w:lastRowFirstColumn="0" w:lastRowLastColumn="0"/>
            <w:tcW w:w="1920" w:type="dxa"/>
            <w:hideMark/>
          </w:tcPr>
          <w:p w14:paraId="2A8AD590" w14:textId="77777777" w:rsidR="00CB7716" w:rsidRPr="00D56FE7" w:rsidRDefault="00CB7716" w:rsidP="00CB7716">
            <w:pPr>
              <w:jc w:val="center"/>
              <w:rPr>
                <w:rFonts w:ascii="Calibri" w:hAnsi="Calibri" w:cs="Calibri"/>
                <w:lang w:eastAsia="en-GB"/>
              </w:rPr>
            </w:pPr>
            <w:r w:rsidRPr="68C0CA2D">
              <w:rPr>
                <w:rFonts w:ascii="Calibri" w:hAnsi="Calibri" w:cs="Calibri"/>
                <w:lang w:eastAsia="en-GB"/>
              </w:rPr>
              <w:t>Total</w:t>
            </w:r>
          </w:p>
        </w:tc>
        <w:tc>
          <w:tcPr>
            <w:tcW w:w="2186" w:type="dxa"/>
            <w:hideMark/>
          </w:tcPr>
          <w:p w14:paraId="2B2FB7DA"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68C0CA2D">
              <w:rPr>
                <w:rFonts w:ascii="Calibri" w:hAnsi="Calibri" w:cs="Calibri"/>
                <w:b/>
                <w:bCs/>
                <w:lang w:eastAsia="en-GB"/>
              </w:rPr>
              <w:t>2,990,670</w:t>
            </w:r>
          </w:p>
        </w:tc>
        <w:tc>
          <w:tcPr>
            <w:tcW w:w="2410" w:type="dxa"/>
            <w:hideMark/>
          </w:tcPr>
          <w:p w14:paraId="60ACE50F"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68C0CA2D">
              <w:rPr>
                <w:rFonts w:ascii="Calibri" w:hAnsi="Calibri" w:cs="Calibri"/>
                <w:b/>
                <w:bCs/>
                <w:lang w:eastAsia="en-GB"/>
              </w:rPr>
              <w:t> </w:t>
            </w:r>
          </w:p>
        </w:tc>
        <w:tc>
          <w:tcPr>
            <w:tcW w:w="2410" w:type="dxa"/>
            <w:hideMark/>
          </w:tcPr>
          <w:p w14:paraId="63DC597F" w14:textId="038238EE" w:rsidR="00CB7716" w:rsidRPr="00373F1A" w:rsidRDefault="0081747A"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Pr>
                <w:rFonts w:ascii="Calibri" w:hAnsi="Calibri" w:cs="Calibri"/>
                <w:b/>
                <w:bCs/>
                <w:lang w:eastAsia="en-GB"/>
              </w:rPr>
              <w:t xml:space="preserve"> </w:t>
            </w:r>
            <w:r w:rsidR="00CB7716" w:rsidRPr="68C0CA2D">
              <w:rPr>
                <w:rFonts w:ascii="Calibri" w:hAnsi="Calibri" w:cs="Calibri"/>
                <w:b/>
                <w:bCs/>
                <w:lang w:eastAsia="en-GB"/>
              </w:rPr>
              <w:t>1,526,192,</w:t>
            </w:r>
            <w:r w:rsidR="00CB7716" w:rsidRPr="48861835">
              <w:rPr>
                <w:rFonts w:ascii="Calibri" w:hAnsi="Calibri" w:cs="Calibri"/>
                <w:b/>
                <w:bCs/>
                <w:lang w:eastAsia="en-GB"/>
              </w:rPr>
              <w:t>894</w:t>
            </w:r>
            <w:r w:rsidR="00CB7716" w:rsidRPr="68C0CA2D">
              <w:rPr>
                <w:rFonts w:ascii="Calibri" w:hAnsi="Calibri" w:cs="Calibri"/>
                <w:b/>
                <w:bCs/>
                <w:lang w:eastAsia="en-GB"/>
              </w:rPr>
              <w:t xml:space="preserve"> </w:t>
            </w:r>
          </w:p>
        </w:tc>
      </w:tr>
    </w:tbl>
    <w:p w14:paraId="31AF7AC8" w14:textId="3FB92AF2" w:rsidR="00CB7716" w:rsidRDefault="00CB7716" w:rsidP="00CB7716"/>
    <w:p w14:paraId="3DB15AA9" w14:textId="77777777" w:rsidR="00F72B9F" w:rsidRPr="00373F1A" w:rsidRDefault="00F72B9F" w:rsidP="00CB7716"/>
    <w:p w14:paraId="34061835" w14:textId="77777777" w:rsidR="00CB7716" w:rsidRPr="00052BFA" w:rsidRDefault="00CB7716" w:rsidP="00CB7716">
      <w:pPr>
        <w:pStyle w:val="FSTableFigureHeading"/>
        <w:rPr>
          <w:sz w:val="20"/>
        </w:rPr>
      </w:pPr>
      <w:r w:rsidRPr="00052BFA">
        <w:rPr>
          <w:sz w:val="20"/>
        </w:rPr>
        <w:lastRenderedPageBreak/>
        <w:t>Table 11: Estimated illness and cost for Category 2 food businesses, by pathogen</w:t>
      </w:r>
    </w:p>
    <w:tbl>
      <w:tblPr>
        <w:tblStyle w:val="GridTable4-Accent4"/>
        <w:tblW w:w="8926" w:type="dxa"/>
        <w:tblLook w:val="04A0" w:firstRow="1" w:lastRow="0" w:firstColumn="1" w:lastColumn="0" w:noHBand="0" w:noVBand="1"/>
      </w:tblPr>
      <w:tblGrid>
        <w:gridCol w:w="1920"/>
        <w:gridCol w:w="2186"/>
        <w:gridCol w:w="2410"/>
        <w:gridCol w:w="2410"/>
      </w:tblGrid>
      <w:tr w:rsidR="00CB7716" w:rsidRPr="00373F1A" w14:paraId="35A825EC" w14:textId="77777777" w:rsidTr="00DE0E16">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920" w:type="dxa"/>
            <w:hideMark/>
          </w:tcPr>
          <w:p w14:paraId="68DB8304" w14:textId="77777777" w:rsidR="00CB7716" w:rsidRPr="00373F1A" w:rsidRDefault="00CB7716" w:rsidP="00CB7716">
            <w:pPr>
              <w:jc w:val="center"/>
              <w:rPr>
                <w:rFonts w:ascii="Calibri" w:hAnsi="Calibri" w:cs="Calibri"/>
                <w:color w:val="FFFFFF"/>
                <w:lang w:eastAsia="en-GB"/>
              </w:rPr>
            </w:pPr>
            <w:r w:rsidRPr="00373F1A">
              <w:rPr>
                <w:rFonts w:ascii="Calibri" w:hAnsi="Calibri" w:cs="Calibri"/>
                <w:color w:val="FFFFFF"/>
                <w:lang w:eastAsia="en-GB"/>
              </w:rPr>
              <w:t>Pathogen</w:t>
            </w:r>
          </w:p>
        </w:tc>
        <w:tc>
          <w:tcPr>
            <w:tcW w:w="2186" w:type="dxa"/>
            <w:hideMark/>
          </w:tcPr>
          <w:p w14:paraId="483E2185"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68C0CA2D">
              <w:rPr>
                <w:rFonts w:ascii="Calibri" w:hAnsi="Calibri" w:cs="Calibri"/>
                <w:lang w:eastAsia="en-GB"/>
              </w:rPr>
              <w:t>Number of</w:t>
            </w:r>
            <w:r w:rsidRPr="68C0CA2D" w:rsidDel="004F4C6E">
              <w:rPr>
                <w:rFonts w:ascii="Calibri" w:hAnsi="Calibri" w:cs="Calibri"/>
                <w:lang w:eastAsia="en-GB"/>
              </w:rPr>
              <w:t xml:space="preserve"> </w:t>
            </w:r>
            <w:r w:rsidRPr="68C0CA2D">
              <w:rPr>
                <w:rFonts w:ascii="Calibri" w:hAnsi="Calibri" w:cs="Calibri"/>
                <w:lang w:eastAsia="en-GB"/>
              </w:rPr>
              <w:t xml:space="preserve">cases </w:t>
            </w:r>
          </w:p>
        </w:tc>
        <w:tc>
          <w:tcPr>
            <w:tcW w:w="2410" w:type="dxa"/>
            <w:hideMark/>
          </w:tcPr>
          <w:p w14:paraId="1298C8D4"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Average cost per case ($)</w:t>
            </w:r>
          </w:p>
        </w:tc>
        <w:tc>
          <w:tcPr>
            <w:tcW w:w="2410" w:type="dxa"/>
            <w:hideMark/>
          </w:tcPr>
          <w:p w14:paraId="0A5D3ADF" w14:textId="77777777" w:rsidR="00CB7716" w:rsidRPr="00373F1A" w:rsidRDefault="00CB7716" w:rsidP="00CB771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Cost per annum ($)</w:t>
            </w:r>
          </w:p>
        </w:tc>
      </w:tr>
      <w:tr w:rsidR="00CB7716" w:rsidRPr="00373F1A" w14:paraId="5F4FCAEB" w14:textId="77777777" w:rsidTr="00DE0E1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EC3AF52" w14:textId="77777777" w:rsidR="00CB7716" w:rsidRPr="00D56FE7" w:rsidRDefault="00CB7716" w:rsidP="00CB7716">
            <w:pPr>
              <w:rPr>
                <w:rFonts w:ascii="Calibri" w:hAnsi="Calibri" w:cs="Calibri"/>
                <w:b w:val="0"/>
                <w:i/>
                <w:color w:val="000000"/>
                <w:lang w:eastAsia="en-GB"/>
              </w:rPr>
            </w:pPr>
            <w:r w:rsidRPr="00D56FE7">
              <w:rPr>
                <w:rFonts w:ascii="Calibri" w:hAnsi="Calibri" w:cs="Calibri"/>
                <w:b w:val="0"/>
                <w:i/>
                <w:color w:val="000000"/>
                <w:lang w:eastAsia="en-GB"/>
              </w:rPr>
              <w:t>Salmonella</w:t>
            </w:r>
          </w:p>
        </w:tc>
        <w:tc>
          <w:tcPr>
            <w:tcW w:w="2186" w:type="dxa"/>
            <w:noWrap/>
            <w:hideMark/>
          </w:tcPr>
          <w:p w14:paraId="04299570"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2,116</w:t>
            </w:r>
          </w:p>
        </w:tc>
        <w:tc>
          <w:tcPr>
            <w:tcW w:w="2410" w:type="dxa"/>
            <w:noWrap/>
            <w:hideMark/>
          </w:tcPr>
          <w:p w14:paraId="4A56A974"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2,270 </w:t>
            </w:r>
          </w:p>
        </w:tc>
        <w:tc>
          <w:tcPr>
            <w:tcW w:w="2410" w:type="dxa"/>
            <w:noWrap/>
            <w:hideMark/>
          </w:tcPr>
          <w:p w14:paraId="79AF90B8"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4,803,320 </w:t>
            </w:r>
          </w:p>
        </w:tc>
      </w:tr>
      <w:tr w:rsidR="00CB7716" w:rsidRPr="00373F1A" w14:paraId="1936A69D" w14:textId="77777777" w:rsidTr="00DE0E16">
        <w:trPr>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13287EC1" w14:textId="77777777" w:rsidR="00CB7716" w:rsidRPr="00D56FE7" w:rsidRDefault="00CB7716" w:rsidP="00CB7716">
            <w:pPr>
              <w:rPr>
                <w:rFonts w:ascii="Calibri" w:hAnsi="Calibri" w:cs="Calibri"/>
                <w:b w:val="0"/>
                <w:i/>
                <w:color w:val="000000"/>
                <w:lang w:eastAsia="en-GB"/>
              </w:rPr>
            </w:pPr>
            <w:r w:rsidRPr="00D56FE7">
              <w:rPr>
                <w:rFonts w:ascii="Calibri" w:hAnsi="Calibri" w:cs="Calibri"/>
                <w:b w:val="0"/>
                <w:i/>
                <w:color w:val="000000"/>
                <w:lang w:eastAsia="en-GB"/>
              </w:rPr>
              <w:t>Campylobacter</w:t>
            </w:r>
          </w:p>
        </w:tc>
        <w:tc>
          <w:tcPr>
            <w:tcW w:w="2186" w:type="dxa"/>
            <w:noWrap/>
            <w:hideMark/>
          </w:tcPr>
          <w:p w14:paraId="13935C60"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32,432</w:t>
            </w:r>
          </w:p>
        </w:tc>
        <w:tc>
          <w:tcPr>
            <w:tcW w:w="2410" w:type="dxa"/>
            <w:noWrap/>
            <w:hideMark/>
          </w:tcPr>
          <w:p w14:paraId="174B9370"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1,390 </w:t>
            </w:r>
          </w:p>
        </w:tc>
        <w:tc>
          <w:tcPr>
            <w:tcW w:w="2410" w:type="dxa"/>
            <w:noWrap/>
            <w:hideMark/>
          </w:tcPr>
          <w:p w14:paraId="4963EAE1"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45,080,480 </w:t>
            </w:r>
          </w:p>
        </w:tc>
      </w:tr>
      <w:tr w:rsidR="00CB7716" w:rsidRPr="00373F1A" w14:paraId="0151A743" w14:textId="77777777" w:rsidTr="00DE0E1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60A28596" w14:textId="77777777" w:rsidR="00CB7716" w:rsidRPr="00D56FE7" w:rsidRDefault="00CB7716" w:rsidP="00CB7716">
            <w:pPr>
              <w:rPr>
                <w:rFonts w:ascii="Calibri" w:hAnsi="Calibri" w:cs="Calibri"/>
                <w:b w:val="0"/>
                <w:color w:val="000000"/>
                <w:lang w:eastAsia="en-GB"/>
              </w:rPr>
            </w:pPr>
            <w:r w:rsidRPr="00D56FE7">
              <w:rPr>
                <w:rFonts w:ascii="Calibri" w:hAnsi="Calibri" w:cs="Calibri"/>
                <w:b w:val="0"/>
                <w:color w:val="000000"/>
                <w:lang w:eastAsia="en-GB"/>
              </w:rPr>
              <w:t>Norovirus</w:t>
            </w:r>
          </w:p>
        </w:tc>
        <w:tc>
          <w:tcPr>
            <w:tcW w:w="2186" w:type="dxa"/>
            <w:noWrap/>
            <w:hideMark/>
          </w:tcPr>
          <w:p w14:paraId="55EBC04E"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188,129</w:t>
            </w:r>
          </w:p>
        </w:tc>
        <w:tc>
          <w:tcPr>
            <w:tcW w:w="2410" w:type="dxa"/>
            <w:noWrap/>
            <w:hideMark/>
          </w:tcPr>
          <w:p w14:paraId="503D50FE"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396 </w:t>
            </w:r>
          </w:p>
        </w:tc>
        <w:tc>
          <w:tcPr>
            <w:tcW w:w="2410" w:type="dxa"/>
            <w:noWrap/>
            <w:hideMark/>
          </w:tcPr>
          <w:p w14:paraId="5B590640"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74,499,084 </w:t>
            </w:r>
          </w:p>
        </w:tc>
      </w:tr>
      <w:tr w:rsidR="00CB7716" w:rsidRPr="00373F1A" w14:paraId="72278C40" w14:textId="77777777" w:rsidTr="00DE0E16">
        <w:trPr>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348A58EF" w14:textId="77777777" w:rsidR="00CB7716" w:rsidRPr="00D56FE7" w:rsidRDefault="00CB7716" w:rsidP="00CB7716">
            <w:pPr>
              <w:rPr>
                <w:rFonts w:ascii="Calibri" w:hAnsi="Calibri" w:cs="Calibri"/>
                <w:b w:val="0"/>
                <w:i/>
                <w:color w:val="000000"/>
                <w:lang w:eastAsia="en-GB"/>
              </w:rPr>
            </w:pPr>
            <w:r w:rsidRPr="00D56FE7">
              <w:rPr>
                <w:rFonts w:ascii="Calibri" w:hAnsi="Calibri" w:cs="Calibri"/>
                <w:b w:val="0"/>
                <w:i/>
                <w:color w:val="000000"/>
                <w:lang w:eastAsia="en-GB"/>
              </w:rPr>
              <w:t>Listeria</w:t>
            </w:r>
          </w:p>
        </w:tc>
        <w:tc>
          <w:tcPr>
            <w:tcW w:w="2186" w:type="dxa"/>
            <w:noWrap/>
            <w:hideMark/>
          </w:tcPr>
          <w:p w14:paraId="3A828704"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0</w:t>
            </w:r>
          </w:p>
        </w:tc>
        <w:tc>
          <w:tcPr>
            <w:tcW w:w="2410" w:type="dxa"/>
            <w:noWrap/>
            <w:hideMark/>
          </w:tcPr>
          <w:p w14:paraId="3C8280A7"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785,000 </w:t>
            </w:r>
          </w:p>
        </w:tc>
        <w:tc>
          <w:tcPr>
            <w:tcW w:w="2410" w:type="dxa"/>
            <w:noWrap/>
            <w:hideMark/>
          </w:tcPr>
          <w:p w14:paraId="758E60E1" w14:textId="50DB7690"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w:t>
            </w:r>
            <w:r w:rsidR="0081747A">
              <w:rPr>
                <w:rFonts w:ascii="Calibri" w:hAnsi="Calibri" w:cs="Calibri"/>
                <w:color w:val="000000" w:themeColor="text1"/>
                <w:lang w:eastAsia="en-GB"/>
              </w:rPr>
              <w:t xml:space="preserve"> </w:t>
            </w:r>
          </w:p>
        </w:tc>
      </w:tr>
      <w:tr w:rsidR="00CB7716" w:rsidRPr="00373F1A" w14:paraId="70496753" w14:textId="77777777" w:rsidTr="00DE0E1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723C5E78" w14:textId="77777777" w:rsidR="00CB7716" w:rsidRPr="00D56FE7" w:rsidRDefault="00CB7716" w:rsidP="00CB7716">
            <w:pPr>
              <w:rPr>
                <w:rFonts w:ascii="Calibri" w:hAnsi="Calibri" w:cs="Calibri"/>
                <w:b w:val="0"/>
                <w:color w:val="000000"/>
                <w:lang w:eastAsia="en-GB"/>
              </w:rPr>
            </w:pPr>
            <w:r w:rsidRPr="00D56FE7">
              <w:rPr>
                <w:rFonts w:ascii="Calibri" w:hAnsi="Calibri" w:cs="Calibri"/>
                <w:b w:val="0"/>
                <w:color w:val="000000"/>
                <w:lang w:eastAsia="en-GB"/>
              </w:rPr>
              <w:t>STEC</w:t>
            </w:r>
          </w:p>
        </w:tc>
        <w:tc>
          <w:tcPr>
            <w:tcW w:w="2186" w:type="dxa"/>
            <w:noWrap/>
            <w:hideMark/>
          </w:tcPr>
          <w:p w14:paraId="11011F1A"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4,637</w:t>
            </w:r>
          </w:p>
        </w:tc>
        <w:tc>
          <w:tcPr>
            <w:tcW w:w="2410" w:type="dxa"/>
            <w:noWrap/>
            <w:hideMark/>
          </w:tcPr>
          <w:p w14:paraId="7312E582"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4,330 </w:t>
            </w:r>
          </w:p>
        </w:tc>
        <w:tc>
          <w:tcPr>
            <w:tcW w:w="2410" w:type="dxa"/>
            <w:noWrap/>
            <w:hideMark/>
          </w:tcPr>
          <w:p w14:paraId="36FBADDA" w14:textId="77777777" w:rsidR="00CB7716" w:rsidRPr="00373F1A" w:rsidRDefault="00CB7716"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48861835">
              <w:rPr>
                <w:rFonts w:ascii="Calibri" w:hAnsi="Calibri" w:cs="Calibri"/>
                <w:color w:val="000000" w:themeColor="text1"/>
                <w:lang w:eastAsia="en-GB"/>
              </w:rPr>
              <w:t xml:space="preserve">20,078,210 </w:t>
            </w:r>
          </w:p>
        </w:tc>
      </w:tr>
      <w:tr w:rsidR="00CB7716" w:rsidRPr="00373F1A" w14:paraId="7D95A823" w14:textId="77777777" w:rsidTr="00DE0E16">
        <w:trPr>
          <w:trHeight w:val="290"/>
        </w:trPr>
        <w:tc>
          <w:tcPr>
            <w:cnfStyle w:val="001000000000" w:firstRow="0" w:lastRow="0" w:firstColumn="1" w:lastColumn="0" w:oddVBand="0" w:evenVBand="0" w:oddHBand="0" w:evenHBand="0" w:firstRowFirstColumn="0" w:firstRowLastColumn="0" w:lastRowFirstColumn="0" w:lastRowLastColumn="0"/>
            <w:tcW w:w="1920" w:type="dxa"/>
            <w:hideMark/>
          </w:tcPr>
          <w:p w14:paraId="4B0DC0E8" w14:textId="77777777" w:rsidR="00CB7716" w:rsidRPr="00D56FE7" w:rsidRDefault="00CB7716" w:rsidP="00CB7716">
            <w:pPr>
              <w:rPr>
                <w:rFonts w:ascii="Calibri" w:hAnsi="Calibri" w:cs="Calibri"/>
                <w:lang w:eastAsia="en-GB"/>
              </w:rPr>
            </w:pPr>
            <w:r w:rsidRPr="00D56FE7">
              <w:rPr>
                <w:rFonts w:ascii="Calibri" w:hAnsi="Calibri" w:cs="Calibri"/>
                <w:lang w:eastAsia="en-GB"/>
              </w:rPr>
              <w:t>Total</w:t>
            </w:r>
          </w:p>
        </w:tc>
        <w:tc>
          <w:tcPr>
            <w:tcW w:w="2186" w:type="dxa"/>
            <w:hideMark/>
          </w:tcPr>
          <w:p w14:paraId="69AE5188"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227,314</w:t>
            </w:r>
          </w:p>
        </w:tc>
        <w:tc>
          <w:tcPr>
            <w:tcW w:w="2410" w:type="dxa"/>
            <w:hideMark/>
          </w:tcPr>
          <w:p w14:paraId="5F7AB2A9"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w:t>
            </w:r>
          </w:p>
        </w:tc>
        <w:tc>
          <w:tcPr>
            <w:tcW w:w="2410" w:type="dxa"/>
            <w:hideMark/>
          </w:tcPr>
          <w:p w14:paraId="0124D896" w14:textId="77777777" w:rsidR="00CB7716" w:rsidRPr="00373F1A" w:rsidRDefault="00CB7716"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48861835">
              <w:rPr>
                <w:rFonts w:ascii="Calibri" w:hAnsi="Calibri" w:cs="Calibri"/>
                <w:b/>
                <w:bCs/>
                <w:lang w:eastAsia="en-GB"/>
              </w:rPr>
              <w:t xml:space="preserve">144,461,094 </w:t>
            </w:r>
          </w:p>
        </w:tc>
      </w:tr>
    </w:tbl>
    <w:p w14:paraId="71604903" w14:textId="074F5B96" w:rsidR="00CB7716" w:rsidRPr="0025246D" w:rsidRDefault="00CB7716" w:rsidP="0025246D">
      <w:pPr>
        <w:pStyle w:val="Heading3"/>
        <w:numPr>
          <w:ilvl w:val="0"/>
          <w:numId w:val="0"/>
        </w:numPr>
        <w:ind w:left="720" w:hanging="720"/>
        <w:rPr>
          <w:sz w:val="28"/>
        </w:rPr>
      </w:pPr>
      <w:bookmarkStart w:id="388" w:name="_Toc104808627"/>
      <w:bookmarkStart w:id="389" w:name="_Toc107412723"/>
      <w:bookmarkStart w:id="390" w:name="_Toc109300471"/>
      <w:r w:rsidRPr="0025246D">
        <w:rPr>
          <w:sz w:val="28"/>
        </w:rPr>
        <w:t>Net benefit of each option</w:t>
      </w:r>
      <w:bookmarkEnd w:id="388"/>
      <w:bookmarkEnd w:id="389"/>
      <w:bookmarkEnd w:id="390"/>
    </w:p>
    <w:p w14:paraId="15DDFF0A" w14:textId="77777777" w:rsidR="00CB7716" w:rsidRDefault="00CB7716" w:rsidP="0000604C">
      <w:pPr>
        <w:spacing w:after="240"/>
      </w:pPr>
      <w:r w:rsidRPr="008C1472">
        <w:t>The ne</w:t>
      </w:r>
      <w:r>
        <w:t xml:space="preserve">t benefits of Options 3.1 and 3.2 were calculated over a ten-year period for both Category 1 and Category 2 businesses. An annual discount rate of 7% was applied as per the recommendation of the Office of Best Practice Regulation. </w:t>
      </w:r>
    </w:p>
    <w:p w14:paraId="008DDB5C" w14:textId="0F85B544" w:rsidR="00CB7716" w:rsidRPr="003A5E9C" w:rsidRDefault="00CB7716" w:rsidP="00CB7716">
      <w:pPr>
        <w:pStyle w:val="Caption"/>
        <w:keepNext/>
        <w:rPr>
          <w:b/>
          <w:color w:val="auto"/>
          <w:sz w:val="20"/>
        </w:rPr>
      </w:pPr>
      <w:r>
        <w:rPr>
          <w:b/>
          <w:color w:val="auto"/>
          <w:sz w:val="20"/>
        </w:rPr>
        <w:t>Table 12: Output of cost–</w:t>
      </w:r>
      <w:r w:rsidRPr="003A5E9C">
        <w:rPr>
          <w:b/>
          <w:color w:val="auto"/>
          <w:sz w:val="20"/>
        </w:rPr>
        <w:t>benefit analysis</w:t>
      </w:r>
    </w:p>
    <w:tbl>
      <w:tblPr>
        <w:tblStyle w:val="List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CB7716" w14:paraId="68780FAC" w14:textId="77777777" w:rsidTr="006E7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DD9C3" w:themeFill="background2" w:themeFillShade="E6"/>
          </w:tcPr>
          <w:p w14:paraId="5D24F8CA" w14:textId="77777777" w:rsidR="00CB7716" w:rsidRPr="006E77ED" w:rsidRDefault="00CB7716" w:rsidP="006E77ED">
            <w:pPr>
              <w:spacing w:after="85"/>
              <w:jc w:val="center"/>
              <w:rPr>
                <w:color w:val="auto"/>
              </w:rPr>
            </w:pPr>
            <w:r w:rsidRPr="006E77ED">
              <w:rPr>
                <w:color w:val="auto"/>
              </w:rPr>
              <w:t>Option</w:t>
            </w:r>
          </w:p>
        </w:tc>
        <w:tc>
          <w:tcPr>
            <w:tcW w:w="3005" w:type="dxa"/>
            <w:shd w:val="clear" w:color="auto" w:fill="DDD9C3" w:themeFill="background2" w:themeFillShade="E6"/>
          </w:tcPr>
          <w:p w14:paraId="6E694934" w14:textId="77777777" w:rsidR="00CB7716" w:rsidRPr="006E77ED"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rPr>
            </w:pPr>
            <w:r w:rsidRPr="006E77ED">
              <w:rPr>
                <w:color w:val="auto"/>
              </w:rPr>
              <w:t>Business category</w:t>
            </w:r>
          </w:p>
        </w:tc>
        <w:tc>
          <w:tcPr>
            <w:tcW w:w="3006" w:type="dxa"/>
            <w:shd w:val="clear" w:color="auto" w:fill="DDD9C3" w:themeFill="background2" w:themeFillShade="E6"/>
          </w:tcPr>
          <w:p w14:paraId="582A43CE" w14:textId="77777777" w:rsidR="00CB7716" w:rsidRPr="006E77ED" w:rsidRDefault="00CB7716" w:rsidP="006E77ED">
            <w:pPr>
              <w:spacing w:after="85"/>
              <w:jc w:val="center"/>
              <w:cnfStyle w:val="100000000000" w:firstRow="1" w:lastRow="0" w:firstColumn="0" w:lastColumn="0" w:oddVBand="0" w:evenVBand="0" w:oddHBand="0" w:evenHBand="0" w:firstRowFirstColumn="0" w:firstRowLastColumn="0" w:lastRowFirstColumn="0" w:lastRowLastColumn="0"/>
              <w:rPr>
                <w:color w:val="auto"/>
              </w:rPr>
            </w:pPr>
            <w:r w:rsidRPr="006E77ED">
              <w:rPr>
                <w:color w:val="auto"/>
              </w:rPr>
              <w:t>Net benefit over 10 years at 7% discount</w:t>
            </w:r>
          </w:p>
        </w:tc>
      </w:tr>
      <w:tr w:rsidR="006E77ED" w14:paraId="3CC7B5F0" w14:textId="77777777" w:rsidTr="006E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shd w:val="clear" w:color="auto" w:fill="B8CCE4" w:themeFill="accent1" w:themeFillTint="66"/>
          </w:tcPr>
          <w:p w14:paraId="60FE3185" w14:textId="77777777" w:rsidR="006E77ED" w:rsidRDefault="006E77ED" w:rsidP="00CB7716">
            <w:pPr>
              <w:spacing w:after="85"/>
              <w:jc w:val="center"/>
            </w:pPr>
            <w:r>
              <w:t>3.1</w:t>
            </w:r>
          </w:p>
        </w:tc>
        <w:tc>
          <w:tcPr>
            <w:tcW w:w="3005" w:type="dxa"/>
            <w:shd w:val="clear" w:color="auto" w:fill="auto"/>
          </w:tcPr>
          <w:p w14:paraId="12BE94B5" w14:textId="77777777" w:rsidR="006E77ED" w:rsidRDefault="006E77ED" w:rsidP="00CB7716">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345BB1FB" w14:textId="77777777" w:rsidR="006E77ED" w:rsidRPr="00E81357" w:rsidRDefault="006E77ED"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48861835">
              <w:rPr>
                <w:rFonts w:ascii="Calibri" w:hAnsi="Calibri" w:cs="Calibri"/>
                <w:color w:val="000000" w:themeColor="text1"/>
              </w:rPr>
              <w:t>$681,116,675</w:t>
            </w:r>
          </w:p>
        </w:tc>
      </w:tr>
      <w:tr w:rsidR="006E77ED" w14:paraId="54EB9839" w14:textId="77777777" w:rsidTr="006E77ED">
        <w:tc>
          <w:tcPr>
            <w:cnfStyle w:val="001000000000" w:firstRow="0" w:lastRow="0" w:firstColumn="1" w:lastColumn="0" w:oddVBand="0" w:evenVBand="0" w:oddHBand="0" w:evenHBand="0" w:firstRowFirstColumn="0" w:firstRowLastColumn="0" w:lastRowFirstColumn="0" w:lastRowLastColumn="0"/>
            <w:tcW w:w="3005" w:type="dxa"/>
            <w:vMerge/>
            <w:shd w:val="clear" w:color="auto" w:fill="B8CCE4" w:themeFill="accent1" w:themeFillTint="66"/>
          </w:tcPr>
          <w:p w14:paraId="549B842A" w14:textId="77777777" w:rsidR="006E77ED" w:rsidRDefault="006E77ED" w:rsidP="00CB7716">
            <w:pPr>
              <w:spacing w:after="85"/>
              <w:jc w:val="right"/>
            </w:pPr>
          </w:p>
        </w:tc>
        <w:tc>
          <w:tcPr>
            <w:tcW w:w="3005" w:type="dxa"/>
            <w:shd w:val="clear" w:color="auto" w:fill="D9D9D9" w:themeFill="background1" w:themeFillShade="D9"/>
          </w:tcPr>
          <w:p w14:paraId="6D2A2023" w14:textId="77777777" w:rsidR="006E77ED" w:rsidRDefault="006E77ED" w:rsidP="00CB7716">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041FD99A" w14:textId="77777777" w:rsidR="006E77ED" w:rsidRPr="00F743DB" w:rsidRDefault="006E77ED"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48861835">
              <w:rPr>
                <w:rFonts w:ascii="Calibri" w:hAnsi="Calibri" w:cs="Calibri"/>
                <w:color w:val="000000" w:themeColor="text1"/>
              </w:rPr>
              <w:t>$66,642,919</w:t>
            </w:r>
          </w:p>
        </w:tc>
      </w:tr>
      <w:tr w:rsidR="006E77ED" w14:paraId="30F23A14" w14:textId="77777777" w:rsidTr="006E77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vMerge w:val="restart"/>
            <w:shd w:val="clear" w:color="auto" w:fill="FBD4B4" w:themeFill="accent6" w:themeFillTint="66"/>
          </w:tcPr>
          <w:p w14:paraId="6D3BB425" w14:textId="77777777" w:rsidR="006E77ED" w:rsidRDefault="006E77ED" w:rsidP="00CB7716">
            <w:pPr>
              <w:spacing w:after="85"/>
              <w:jc w:val="center"/>
            </w:pPr>
            <w:r>
              <w:t>3.2</w:t>
            </w:r>
          </w:p>
        </w:tc>
        <w:tc>
          <w:tcPr>
            <w:tcW w:w="3005" w:type="dxa"/>
            <w:shd w:val="clear" w:color="auto" w:fill="auto"/>
          </w:tcPr>
          <w:p w14:paraId="267AEFCC" w14:textId="77777777" w:rsidR="006E77ED" w:rsidRDefault="006E77ED" w:rsidP="00CB7716">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554E1E6E" w14:textId="77777777" w:rsidR="006E77ED" w:rsidRPr="00F743DB" w:rsidRDefault="006E77ED" w:rsidP="00CB771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48861835">
              <w:rPr>
                <w:rFonts w:ascii="Calibri" w:hAnsi="Calibri" w:cs="Calibri"/>
                <w:color w:val="000000" w:themeColor="text1"/>
              </w:rPr>
              <w:t>$621,539,085</w:t>
            </w:r>
          </w:p>
        </w:tc>
      </w:tr>
      <w:tr w:rsidR="006E77ED" w14:paraId="0BD34294" w14:textId="77777777" w:rsidTr="006E77ED">
        <w:tc>
          <w:tcPr>
            <w:cnfStyle w:val="001000000000" w:firstRow="0" w:lastRow="0" w:firstColumn="1" w:lastColumn="0" w:oddVBand="0" w:evenVBand="0" w:oddHBand="0" w:evenHBand="0" w:firstRowFirstColumn="0" w:firstRowLastColumn="0" w:lastRowFirstColumn="0" w:lastRowLastColumn="0"/>
            <w:tcW w:w="3005" w:type="dxa"/>
            <w:vMerge/>
            <w:shd w:val="clear" w:color="auto" w:fill="FBD4B4" w:themeFill="accent6" w:themeFillTint="66"/>
          </w:tcPr>
          <w:p w14:paraId="57AADC1E" w14:textId="77777777" w:rsidR="006E77ED" w:rsidRDefault="006E77ED" w:rsidP="00CB7716">
            <w:pPr>
              <w:spacing w:after="85"/>
              <w:jc w:val="center"/>
            </w:pPr>
          </w:p>
        </w:tc>
        <w:tc>
          <w:tcPr>
            <w:tcW w:w="3005" w:type="dxa"/>
            <w:shd w:val="clear" w:color="auto" w:fill="D9D9D9" w:themeFill="background1" w:themeFillShade="D9"/>
          </w:tcPr>
          <w:p w14:paraId="50CB5658" w14:textId="77777777" w:rsidR="006E77ED" w:rsidRDefault="006E77ED" w:rsidP="00CB7716">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23BC59F1" w14:textId="77777777" w:rsidR="006E77ED" w:rsidRPr="00F743DB" w:rsidRDefault="006E77ED" w:rsidP="00CB771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48861835">
              <w:rPr>
                <w:rFonts w:ascii="Calibri" w:hAnsi="Calibri" w:cs="Calibri"/>
                <w:color w:val="000000" w:themeColor="text1"/>
              </w:rPr>
              <w:t>$111,918,638</w:t>
            </w:r>
          </w:p>
        </w:tc>
      </w:tr>
    </w:tbl>
    <w:p w14:paraId="42ADDAF1" w14:textId="77777777" w:rsidR="00CB7716" w:rsidRDefault="00CB7716" w:rsidP="00CB7716">
      <w:pPr>
        <w:rPr>
          <w:rFonts w:eastAsia="Calibri"/>
          <w:b/>
          <w:sz w:val="28"/>
          <w:szCs w:val="28"/>
        </w:rPr>
      </w:pPr>
    </w:p>
    <w:p w14:paraId="22B52BB7" w14:textId="544205E8" w:rsidR="00CB7716" w:rsidRPr="0025246D" w:rsidRDefault="00CB7716" w:rsidP="0025246D">
      <w:pPr>
        <w:pStyle w:val="Heading3"/>
        <w:numPr>
          <w:ilvl w:val="0"/>
          <w:numId w:val="0"/>
        </w:numPr>
        <w:ind w:left="720" w:hanging="720"/>
        <w:rPr>
          <w:rFonts w:eastAsiaTheme="majorEastAsia"/>
          <w:sz w:val="28"/>
        </w:rPr>
      </w:pPr>
      <w:bookmarkStart w:id="391" w:name="_Toc109300472"/>
      <w:r w:rsidRPr="0025246D">
        <w:rPr>
          <w:rFonts w:eastAsiaTheme="majorEastAsia"/>
          <w:sz w:val="28"/>
        </w:rPr>
        <w:t>References</w:t>
      </w:r>
      <w:bookmarkEnd w:id="391"/>
    </w:p>
    <w:p w14:paraId="1B5ACEFE" w14:textId="77777777" w:rsidR="00CB7716" w:rsidRPr="00373F1A" w:rsidRDefault="00CB7716" w:rsidP="00CB7716">
      <w:pPr>
        <w:rPr>
          <w:lang w:eastAsia="en-AU"/>
        </w:rPr>
      </w:pPr>
      <w:r w:rsidRPr="00373F1A">
        <w:rPr>
          <w:lang w:eastAsia="en-AU"/>
        </w:rPr>
        <w:t>Allen (2002). The Allen Consulting Group. Food Safety Management Systems; Costs, Benefits and Alternatives. Canberra: Commonwealth Department of Health and Aging.</w:t>
      </w:r>
    </w:p>
    <w:p w14:paraId="05C3B301" w14:textId="77777777" w:rsidR="00CB7716" w:rsidRPr="00373F1A" w:rsidRDefault="00CB7716" w:rsidP="00CB7716">
      <w:pPr>
        <w:rPr>
          <w:lang w:eastAsia="en-AU"/>
        </w:rPr>
      </w:pPr>
      <w:r w:rsidRPr="00373F1A">
        <w:rPr>
          <w:lang w:eastAsia="en-AU"/>
        </w:rPr>
        <w:t>Food Science Australia and Minter Ellison Consulting (2002). National Risk Validation Project Final Report. Canberra: NSW Department of Health &amp; the Commonwealth Department of Health and Aging.</w:t>
      </w:r>
    </w:p>
    <w:p w14:paraId="1546E04C" w14:textId="77777777" w:rsidR="00F72B9F" w:rsidRDefault="00F72B9F" w:rsidP="00CB7716"/>
    <w:p w14:paraId="3FB6E0D7" w14:textId="169CB7E1" w:rsidR="00CB7716" w:rsidRPr="00373F1A" w:rsidRDefault="00CB7716" w:rsidP="00CB7716">
      <w:r w:rsidRPr="00373F1A">
        <w:t>Kirk</w:t>
      </w:r>
      <w:r>
        <w:t xml:space="preserve"> M, Ford L, Glass K, Hall G</w:t>
      </w:r>
      <w:r w:rsidRPr="00373F1A">
        <w:t xml:space="preserve"> (2014). Foodborne Illness, Australia, Circa 2000 and Circa 2010. Emerging Infectious Diseases, 20(11)</w:t>
      </w:r>
      <w:r>
        <w:t xml:space="preserve">: 1857-1864. </w:t>
      </w:r>
      <w:hyperlink r:id="rId68" w:history="1">
        <w:r w:rsidRPr="00191DF0">
          <w:rPr>
            <w:rStyle w:val="Hyperlink"/>
            <w:rFonts w:cstheme="minorBidi"/>
          </w:rPr>
          <w:t>https://doi.org/10.3201/eid2011.131315</w:t>
        </w:r>
      </w:hyperlink>
      <w:r w:rsidRPr="00373F1A">
        <w:t xml:space="preserve"> </w:t>
      </w:r>
    </w:p>
    <w:p w14:paraId="684D174B" w14:textId="77777777" w:rsidR="00F72B9F" w:rsidRDefault="00F72B9F" w:rsidP="00CB7716">
      <w:pPr>
        <w:rPr>
          <w:lang w:eastAsia="en-AU"/>
        </w:rPr>
      </w:pPr>
    </w:p>
    <w:p w14:paraId="65DC69C6" w14:textId="1FDC7A50" w:rsidR="00CB7716" w:rsidRDefault="00CB7716" w:rsidP="00CB7716">
      <w:pPr>
        <w:rPr>
          <w:lang w:eastAsia="en-AU"/>
        </w:rPr>
      </w:pPr>
      <w:r w:rsidRPr="00373F1A">
        <w:rPr>
          <w:lang w:eastAsia="en-AU"/>
        </w:rPr>
        <w:t>NSW Food Authority (2009). Better Regulation Statement; Food Handler Training Initiative - Food Safety Supervisor requirement for NSW hospitality businesses. Sydney: NSW Food Authority.</w:t>
      </w:r>
    </w:p>
    <w:p w14:paraId="72A67BDF" w14:textId="77777777" w:rsidR="00F72B9F" w:rsidRDefault="00F72B9F" w:rsidP="00CB7716">
      <w:pPr>
        <w:rPr>
          <w:lang w:eastAsia="en-AU"/>
        </w:rPr>
      </w:pPr>
    </w:p>
    <w:p w14:paraId="53D2D0AE" w14:textId="317B4F88" w:rsidR="00CB7716" w:rsidRDefault="00CB7716" w:rsidP="00CB7716">
      <w:pPr>
        <w:rPr>
          <w:lang w:eastAsia="en-AU"/>
        </w:rPr>
      </w:pPr>
      <w:r>
        <w:rPr>
          <w:lang w:eastAsia="en-AU"/>
        </w:rPr>
        <w:t xml:space="preserve">Office of Best Practice Regulation, </w:t>
      </w:r>
      <w:r w:rsidRPr="00261D17">
        <w:rPr>
          <w:i/>
          <w:lang w:eastAsia="en-AU"/>
        </w:rPr>
        <w:t>Guidance Note – Cost Benefit Analysis</w:t>
      </w:r>
      <w:r>
        <w:rPr>
          <w:lang w:eastAsia="en-AU"/>
        </w:rPr>
        <w:t xml:space="preserve">, March 2020 p.7 </w:t>
      </w:r>
      <w:hyperlink r:id="rId69" w:history="1">
        <w:r w:rsidRPr="00261D17">
          <w:rPr>
            <w:color w:val="0000FF"/>
            <w:u w:val="single"/>
          </w:rPr>
          <w:t>Cost-Benefit Analysis | OBPR (pmc.gov.au)</w:t>
        </w:r>
      </w:hyperlink>
      <w:r w:rsidR="0081747A">
        <w:t xml:space="preserve"> </w:t>
      </w:r>
      <w:r>
        <w:t>accessed 29/10/2021.</w:t>
      </w:r>
      <w:r>
        <w:rPr>
          <w:lang w:eastAsia="en-AU"/>
        </w:rPr>
        <w:br w:type="page"/>
      </w:r>
    </w:p>
    <w:p w14:paraId="599C97CC" w14:textId="77777777" w:rsidR="00CB7716" w:rsidRPr="008F342F" w:rsidRDefault="00CB7716" w:rsidP="0025246D">
      <w:pPr>
        <w:pStyle w:val="Heading2"/>
        <w:numPr>
          <w:ilvl w:val="0"/>
          <w:numId w:val="0"/>
        </w:numPr>
        <w:ind w:left="576" w:hanging="576"/>
      </w:pPr>
      <w:bookmarkStart w:id="392" w:name="_Toc70953248"/>
      <w:bookmarkStart w:id="393" w:name="_Toc104808628"/>
      <w:bookmarkStart w:id="394" w:name="_Toc107412724"/>
      <w:bookmarkStart w:id="395" w:name="_Toc109300473"/>
      <w:r w:rsidRPr="008F342F">
        <w:lastRenderedPageBreak/>
        <w:t>Appendix 2 – Food safety culture initiatives and education</w:t>
      </w:r>
      <w:bookmarkEnd w:id="392"/>
      <w:bookmarkEnd w:id="393"/>
      <w:bookmarkEnd w:id="394"/>
      <w:bookmarkEnd w:id="395"/>
      <w:r w:rsidRPr="008F342F">
        <w:t xml:space="preserve"> </w:t>
      </w:r>
    </w:p>
    <w:p w14:paraId="67785F39" w14:textId="5F1B90F2" w:rsidR="00CB7716" w:rsidRDefault="00CB7716" w:rsidP="0000604C">
      <w:pPr>
        <w:spacing w:after="240"/>
        <w:rPr>
          <w:lang w:val="en-AU"/>
        </w:rPr>
      </w:pPr>
      <w:r w:rsidRPr="004032CC">
        <w:rPr>
          <w:lang w:val="en-AU"/>
        </w:rPr>
        <w:t xml:space="preserve">Food safety culture in a food business is how everyone (owners, managers and employees) thinks and acts in their daily job to make sure the food they produce or serve is safe. A strong food safety culture is achieved when </w:t>
      </w:r>
      <w:r>
        <w:rPr>
          <w:lang w:val="en-AU"/>
        </w:rPr>
        <w:t>everyone</w:t>
      </w:r>
      <w:r w:rsidRPr="004032CC">
        <w:rPr>
          <w:lang w:val="en-AU"/>
        </w:rPr>
        <w:t xml:space="preserve"> understand</w:t>
      </w:r>
      <w:r>
        <w:rPr>
          <w:lang w:val="en-AU"/>
        </w:rPr>
        <w:t>s</w:t>
      </w:r>
      <w:r w:rsidRPr="004032CC">
        <w:rPr>
          <w:lang w:val="en-AU"/>
        </w:rPr>
        <w:t xml:space="preserve"> the importance of making safe food and commit</w:t>
      </w:r>
      <w:r>
        <w:rPr>
          <w:lang w:val="en-AU"/>
        </w:rPr>
        <w:t>s</w:t>
      </w:r>
      <w:r w:rsidRPr="004032CC">
        <w:rPr>
          <w:lang w:val="en-AU"/>
        </w:rPr>
        <w:t xml:space="preserve"> to doing </w:t>
      </w:r>
      <w:r>
        <w:rPr>
          <w:lang w:val="en-AU"/>
        </w:rPr>
        <w:t>the right</w:t>
      </w:r>
      <w:r w:rsidRPr="004032CC">
        <w:rPr>
          <w:lang w:val="en-AU"/>
        </w:rPr>
        <w:t xml:space="preserve"> </w:t>
      </w:r>
      <w:r>
        <w:rPr>
          <w:lang w:val="en-AU"/>
        </w:rPr>
        <w:t xml:space="preserve">thing </w:t>
      </w:r>
      <w:r w:rsidRPr="004032CC">
        <w:rPr>
          <w:lang w:val="en-AU"/>
        </w:rPr>
        <w:t xml:space="preserve">every time. </w:t>
      </w:r>
    </w:p>
    <w:p w14:paraId="0FEA000D" w14:textId="77777777" w:rsidR="00CB7716" w:rsidRPr="004032CC" w:rsidRDefault="00CB7716" w:rsidP="0000604C">
      <w:pPr>
        <w:spacing w:after="240"/>
        <w:rPr>
          <w:lang w:val="en-AU"/>
        </w:rPr>
      </w:pPr>
      <w:r w:rsidRPr="004032CC">
        <w:rPr>
          <w:lang w:val="en-AU"/>
        </w:rPr>
        <w:t xml:space="preserve">A strong positive culture can significantly improve food safety and productivity performance. A proactive focus on food safety means issues can be identified and promptly rectified or prevented. Raised awareness and commitment to food safety across the business reduces its risk. Production of safe food means consumers are protected from foodborne illness. Businesses also benefit from preventing incidents that could cause reputational damage and financial loss. </w:t>
      </w:r>
    </w:p>
    <w:p w14:paraId="1F10AD3E" w14:textId="77777777" w:rsidR="00CB7716" w:rsidRPr="0000604C" w:rsidRDefault="00CB7716" w:rsidP="0000604C">
      <w:pPr>
        <w:spacing w:after="240"/>
        <w:rPr>
          <w:b/>
          <w:i/>
        </w:rPr>
      </w:pPr>
      <w:bookmarkStart w:id="396" w:name="_Toc70953249"/>
      <w:bookmarkStart w:id="397" w:name="_Toc104808629"/>
      <w:bookmarkStart w:id="398" w:name="_Toc107412725"/>
      <w:r w:rsidRPr="0000604C">
        <w:rPr>
          <w:b/>
          <w:i/>
        </w:rPr>
        <w:t>Global, international and national focus on food safety culture</w:t>
      </w:r>
      <w:bookmarkEnd w:id="396"/>
      <w:bookmarkEnd w:id="397"/>
      <w:bookmarkEnd w:id="398"/>
      <w:r w:rsidRPr="0000604C">
        <w:rPr>
          <w:b/>
          <w:i/>
        </w:rPr>
        <w:t xml:space="preserve"> </w:t>
      </w:r>
    </w:p>
    <w:p w14:paraId="5DD2F80B" w14:textId="77777777" w:rsidR="00CB7716" w:rsidRPr="004032CC" w:rsidRDefault="00CB7716" w:rsidP="0000604C">
      <w:pPr>
        <w:spacing w:after="240"/>
        <w:rPr>
          <w:lang w:val="en-AU"/>
        </w:rPr>
      </w:pPr>
      <w:r w:rsidRPr="004032CC">
        <w:rPr>
          <w:lang w:val="en-AU"/>
        </w:rPr>
        <w:t>Food safety culture is being incorporated as a formal element or requirement in global and international standards, strategies and regulation including:</w:t>
      </w:r>
    </w:p>
    <w:p w14:paraId="018293A5" w14:textId="77777777" w:rsidR="00CB7716" w:rsidRPr="004032CC" w:rsidRDefault="00CB7716" w:rsidP="00614AF5">
      <w:pPr>
        <w:pStyle w:val="ListParagraph"/>
        <w:numPr>
          <w:ilvl w:val="0"/>
          <w:numId w:val="94"/>
        </w:numPr>
        <w:spacing w:after="240"/>
      </w:pPr>
      <w:r w:rsidRPr="004032CC">
        <w:t xml:space="preserve">the overarching General Principles of Food Hygiene of the Codex Alimentarius Commission, the global standard-setting body (September 2020) </w:t>
      </w:r>
    </w:p>
    <w:p w14:paraId="0966C5A9" w14:textId="77777777" w:rsidR="00CB7716" w:rsidRPr="004032CC" w:rsidRDefault="00CB7716" w:rsidP="00614AF5">
      <w:pPr>
        <w:pStyle w:val="ListParagraph"/>
        <w:numPr>
          <w:ilvl w:val="0"/>
          <w:numId w:val="94"/>
        </w:numPr>
        <w:spacing w:after="240"/>
      </w:pPr>
      <w:r w:rsidRPr="004032CC">
        <w:t xml:space="preserve">draft revised European regulation on food hygiene (EC Regulation No 852/2004) </w:t>
      </w:r>
    </w:p>
    <w:p w14:paraId="46B99805" w14:textId="77777777" w:rsidR="00CB7716" w:rsidRPr="004032CC" w:rsidRDefault="00CB7716" w:rsidP="00614AF5">
      <w:pPr>
        <w:pStyle w:val="ListParagraph"/>
        <w:numPr>
          <w:ilvl w:val="0"/>
          <w:numId w:val="94"/>
        </w:numPr>
        <w:spacing w:after="240"/>
      </w:pPr>
      <w:r w:rsidRPr="004032CC">
        <w:t xml:space="preserve">food safety strategies of the United Kingdom Food Safety Authority and the US Food and Drug Administration </w:t>
      </w:r>
    </w:p>
    <w:p w14:paraId="5909E2ED" w14:textId="64086439" w:rsidR="00CB7716" w:rsidRPr="004032CC" w:rsidRDefault="00CB7716" w:rsidP="00614AF5">
      <w:pPr>
        <w:pStyle w:val="ListParagraph"/>
        <w:numPr>
          <w:ilvl w:val="0"/>
          <w:numId w:val="94"/>
        </w:numPr>
        <w:spacing w:after="240"/>
      </w:pPr>
      <w:r w:rsidRPr="004032CC">
        <w:t>the Global Food Safety Initiative (GFSI) Benchmarking Requirements (Version 2020), setting a precedent for many other industry standards</w:t>
      </w:r>
      <w:r w:rsidR="0081747A">
        <w:t xml:space="preserve"> </w:t>
      </w:r>
    </w:p>
    <w:p w14:paraId="6B537DDB" w14:textId="77777777" w:rsidR="00CB7716" w:rsidRPr="004032CC" w:rsidRDefault="00CB7716" w:rsidP="00614AF5">
      <w:pPr>
        <w:pStyle w:val="ListParagraph"/>
        <w:numPr>
          <w:ilvl w:val="0"/>
          <w:numId w:val="94"/>
        </w:numPr>
        <w:spacing w:after="240"/>
      </w:pPr>
      <w:r w:rsidRPr="004032CC">
        <w:t xml:space="preserve">other global industry standards on food safety such as BRC and SQF. </w:t>
      </w:r>
    </w:p>
    <w:p w14:paraId="7D1019A4" w14:textId="0DBB0529" w:rsidR="00CB7716" w:rsidRPr="004032CC" w:rsidRDefault="00CB7716" w:rsidP="0000604C">
      <w:pPr>
        <w:spacing w:after="240"/>
        <w:rPr>
          <w:lang w:val="en-AU"/>
        </w:rPr>
      </w:pPr>
      <w:r w:rsidRPr="004032CC">
        <w:rPr>
          <w:lang w:val="en-AU"/>
        </w:rPr>
        <w:t xml:space="preserve">A common element in each of these documents is management commitment to food safety. </w:t>
      </w:r>
    </w:p>
    <w:p w14:paraId="6DB495BF" w14:textId="77777777" w:rsidR="00CB7716" w:rsidRPr="0000604C" w:rsidRDefault="00CB7716" w:rsidP="0000604C">
      <w:pPr>
        <w:spacing w:after="240"/>
        <w:rPr>
          <w:b/>
          <w:i/>
        </w:rPr>
      </w:pPr>
      <w:bookmarkStart w:id="399" w:name="_Toc70953250"/>
      <w:bookmarkStart w:id="400" w:name="_Toc104808630"/>
      <w:bookmarkStart w:id="401" w:name="_Toc107412726"/>
      <w:r w:rsidRPr="0000604C">
        <w:rPr>
          <w:b/>
          <w:i/>
        </w:rPr>
        <w:t>Food safety culture initiatives in Australia</w:t>
      </w:r>
      <w:bookmarkEnd w:id="399"/>
      <w:bookmarkEnd w:id="400"/>
      <w:bookmarkEnd w:id="401"/>
      <w:r w:rsidRPr="0000604C">
        <w:rPr>
          <w:b/>
          <w:i/>
        </w:rPr>
        <w:t xml:space="preserve"> </w:t>
      </w:r>
    </w:p>
    <w:p w14:paraId="43E1B340" w14:textId="4F01E7E3" w:rsidR="00CB7716" w:rsidRDefault="00CB7716" w:rsidP="0000604C">
      <w:pPr>
        <w:spacing w:after="240"/>
      </w:pPr>
      <w:r w:rsidRPr="004032CC">
        <w:rPr>
          <w:lang w:val="en-AU"/>
        </w:rPr>
        <w:t>Australia’s food regulation system has iden</w:t>
      </w:r>
      <w:r>
        <w:rPr>
          <w:lang w:val="en-AU"/>
        </w:rPr>
        <w:t>tified food safety culture as fundamental in</w:t>
      </w:r>
      <w:r w:rsidRPr="004032CC">
        <w:rPr>
          <w:lang w:val="en-AU"/>
        </w:rPr>
        <w:t xml:space="preserve"> the national </w:t>
      </w:r>
      <w:r w:rsidRPr="3C0957AF">
        <w:rPr>
          <w:i/>
          <w:iCs/>
          <w:lang w:val="en-AU"/>
        </w:rPr>
        <w:t>Foodborne Illness Reduction Strategy 2018-2021</w:t>
      </w:r>
      <w:r w:rsidRPr="00616D39">
        <w:rPr>
          <w:lang w:val="en-AU"/>
        </w:rPr>
        <w:t xml:space="preserve">+. </w:t>
      </w:r>
      <w:r>
        <w:t>Food regulators</w:t>
      </w:r>
      <w:r w:rsidRPr="00601829">
        <w:t xml:space="preserve"> have been working with food businesses to promote and improve food safety culture</w:t>
      </w:r>
      <w:r>
        <w:t>, under Strategy activities</w:t>
      </w:r>
      <w:r w:rsidRPr="00601829">
        <w:t>. To</w:t>
      </w:r>
      <w:r>
        <w:t xml:space="preserve"> date, this work has involved</w:t>
      </w:r>
      <w:r w:rsidRPr="00A83A44">
        <w:t xml:space="preserve"> dairy manufacturers (see Dairy Food Safety Victoria website</w:t>
      </w:r>
      <w:r w:rsidRPr="00A83A44">
        <w:rPr>
          <w:rStyle w:val="FootnoteReference"/>
        </w:rPr>
        <w:footnoteReference w:id="42"/>
      </w:r>
      <w:r w:rsidRPr="00A83A44">
        <w:t xml:space="preserve">) </w:t>
      </w:r>
      <w:bookmarkStart w:id="402" w:name="_Int_3vkg1Gb6"/>
      <w:r w:rsidRPr="00A83A44">
        <w:t>and</w:t>
      </w:r>
      <w:bookmarkEnd w:id="402"/>
      <w:r w:rsidRPr="00A83A44">
        <w:t xml:space="preserve"> </w:t>
      </w:r>
      <w:r>
        <w:t>food service businesses. The role of authorised officers as educators is a key part of these initiatives. This work is ongoing.</w:t>
      </w:r>
    </w:p>
    <w:p w14:paraId="44A6899F" w14:textId="297307E2" w:rsidR="00CB7716" w:rsidRDefault="00CB7716" w:rsidP="0000604C">
      <w:pPr>
        <w:spacing w:after="240"/>
        <w:rPr>
          <w:lang w:val="en-AU"/>
        </w:rPr>
      </w:pPr>
      <w:r>
        <w:rPr>
          <w:lang w:val="en-AU"/>
        </w:rPr>
        <w:t>I</w:t>
      </w:r>
      <w:r w:rsidRPr="00A83A44">
        <w:rPr>
          <w:lang w:val="en-AU"/>
        </w:rPr>
        <w:t>nformation and resources on food safety culture for use by industry and regulators</w:t>
      </w:r>
      <w:r w:rsidRPr="00CE3429">
        <w:rPr>
          <w:lang w:val="en-AU"/>
        </w:rPr>
        <w:t xml:space="preserve"> </w:t>
      </w:r>
      <w:r>
        <w:rPr>
          <w:lang w:val="en-AU"/>
        </w:rPr>
        <w:t>are on the FSANZ website</w:t>
      </w:r>
      <w:r w:rsidRPr="00A83A44">
        <w:rPr>
          <w:lang w:val="en-AU"/>
        </w:rPr>
        <w:t xml:space="preserve">. </w:t>
      </w:r>
      <w:r>
        <w:rPr>
          <w:lang w:val="en-AU"/>
        </w:rPr>
        <w:t>Other national resources are being developed by FSANZ and Implementation Subcommittee for Food Regulation (ISFR).</w:t>
      </w:r>
    </w:p>
    <w:p w14:paraId="43FA7DC4" w14:textId="740EBC21" w:rsidR="00CB7716" w:rsidRDefault="00CB7716" w:rsidP="0000604C">
      <w:pPr>
        <w:spacing w:after="240"/>
        <w:rPr>
          <w:lang w:val="en-AU"/>
        </w:rPr>
      </w:pPr>
      <w:r>
        <w:rPr>
          <w:lang w:val="en-AU"/>
        </w:rPr>
        <w:t>Australian f</w:t>
      </w:r>
      <w:r w:rsidRPr="00A83A44">
        <w:rPr>
          <w:lang w:val="en-AU"/>
        </w:rPr>
        <w:t>ood industry schemes</w:t>
      </w:r>
      <w:r>
        <w:rPr>
          <w:lang w:val="en-AU"/>
        </w:rPr>
        <w:t xml:space="preserve"> </w:t>
      </w:r>
      <w:r w:rsidRPr="00A83A44">
        <w:rPr>
          <w:lang w:val="en-AU"/>
        </w:rPr>
        <w:t xml:space="preserve">are adopting food safety culture requirements to reflect </w:t>
      </w:r>
      <w:r>
        <w:rPr>
          <w:lang w:val="en-AU"/>
        </w:rPr>
        <w:t>international benchmarks</w:t>
      </w:r>
      <w:r w:rsidRPr="00A83A44">
        <w:rPr>
          <w:lang w:val="en-AU"/>
        </w:rPr>
        <w:t xml:space="preserve">. </w:t>
      </w:r>
      <w:r>
        <w:rPr>
          <w:lang w:val="en-AU"/>
        </w:rPr>
        <w:t>Major retailers</w:t>
      </w:r>
      <w:r w:rsidRPr="00A83A44">
        <w:rPr>
          <w:lang w:val="en-AU"/>
        </w:rPr>
        <w:t xml:space="preserve"> have </w:t>
      </w:r>
      <w:r>
        <w:rPr>
          <w:lang w:val="en-AU"/>
        </w:rPr>
        <w:t xml:space="preserve">also </w:t>
      </w:r>
      <w:r w:rsidRPr="00A83A44">
        <w:rPr>
          <w:lang w:val="en-AU"/>
        </w:rPr>
        <w:t xml:space="preserve">introduced requirements </w:t>
      </w:r>
      <w:r>
        <w:rPr>
          <w:lang w:val="en-AU"/>
        </w:rPr>
        <w:t xml:space="preserve">for </w:t>
      </w:r>
      <w:r w:rsidRPr="00A83A44">
        <w:rPr>
          <w:lang w:val="en-AU"/>
        </w:rPr>
        <w:t xml:space="preserve">management commitment to </w:t>
      </w:r>
      <w:r>
        <w:rPr>
          <w:lang w:val="en-AU"/>
        </w:rPr>
        <w:t xml:space="preserve">food safety. </w:t>
      </w:r>
      <w:r w:rsidRPr="00A83A44">
        <w:rPr>
          <w:lang w:val="en-AU"/>
        </w:rPr>
        <w:t>The Australian Institute of Food Science and Technology is developing a ‘</w:t>
      </w:r>
      <w:r>
        <w:rPr>
          <w:lang w:val="en-AU"/>
        </w:rPr>
        <w:t xml:space="preserve">food safety </w:t>
      </w:r>
      <w:r w:rsidRPr="00A83A44">
        <w:rPr>
          <w:lang w:val="en-AU"/>
        </w:rPr>
        <w:t xml:space="preserve">governance guide’ for </w:t>
      </w:r>
      <w:r>
        <w:rPr>
          <w:lang w:val="en-AU"/>
        </w:rPr>
        <w:t xml:space="preserve">food </w:t>
      </w:r>
      <w:r w:rsidRPr="00A83A44">
        <w:rPr>
          <w:lang w:val="en-AU"/>
        </w:rPr>
        <w:t xml:space="preserve">business owners and boards, </w:t>
      </w:r>
      <w:r>
        <w:rPr>
          <w:lang w:val="en-AU"/>
        </w:rPr>
        <w:t>to assist</w:t>
      </w:r>
      <w:r w:rsidRPr="00A83A44">
        <w:rPr>
          <w:lang w:val="en-AU"/>
        </w:rPr>
        <w:t xml:space="preserve"> </w:t>
      </w:r>
      <w:r>
        <w:rPr>
          <w:lang w:val="en-AU"/>
        </w:rPr>
        <w:t>industry with strengthening</w:t>
      </w:r>
      <w:r w:rsidRPr="00A83A44">
        <w:rPr>
          <w:lang w:val="en-AU"/>
        </w:rPr>
        <w:t xml:space="preserve"> food safety culture.</w:t>
      </w:r>
    </w:p>
    <w:p w14:paraId="79009310" w14:textId="77777777" w:rsidR="0000604C" w:rsidRDefault="0000604C">
      <w:pPr>
        <w:widowControl/>
        <w:rPr>
          <w:lang w:val="en-AU"/>
        </w:rPr>
      </w:pPr>
      <w:r>
        <w:rPr>
          <w:lang w:val="en-AU"/>
        </w:rPr>
        <w:br w:type="page"/>
      </w:r>
    </w:p>
    <w:p w14:paraId="7BB79C58" w14:textId="77777777" w:rsidR="00CB7716" w:rsidRPr="00835F5A" w:rsidRDefault="00CB7716" w:rsidP="0025246D">
      <w:pPr>
        <w:pStyle w:val="Heading2"/>
        <w:numPr>
          <w:ilvl w:val="0"/>
          <w:numId w:val="0"/>
        </w:numPr>
        <w:ind w:left="576" w:hanging="576"/>
      </w:pPr>
      <w:bookmarkStart w:id="403" w:name="_Toc70953252"/>
      <w:bookmarkStart w:id="404" w:name="_Toc104808631"/>
      <w:bookmarkStart w:id="405" w:name="_Toc107412727"/>
      <w:bookmarkStart w:id="406" w:name="_Toc109300474"/>
      <w:r w:rsidRPr="008F342F">
        <w:lastRenderedPageBreak/>
        <w:t>Appendix 3 – International approaches</w:t>
      </w:r>
      <w:bookmarkEnd w:id="403"/>
      <w:bookmarkEnd w:id="404"/>
      <w:bookmarkEnd w:id="405"/>
      <w:bookmarkEnd w:id="406"/>
    </w:p>
    <w:p w14:paraId="30AC3BB0" w14:textId="77777777" w:rsidR="0000604C" w:rsidRDefault="00CB7716" w:rsidP="0000604C">
      <w:pPr>
        <w:spacing w:after="240"/>
        <w:rPr>
          <w:b/>
          <w:i/>
        </w:rPr>
      </w:pPr>
      <w:bookmarkStart w:id="407" w:name="_Toc70953253"/>
      <w:bookmarkStart w:id="408" w:name="_Toc104808632"/>
      <w:bookmarkStart w:id="409" w:name="_Toc107412728"/>
      <w:r w:rsidRPr="0000604C">
        <w:rPr>
          <w:b/>
          <w:i/>
        </w:rPr>
        <w:t>Codex overarching principles</w:t>
      </w:r>
      <w:bookmarkEnd w:id="407"/>
      <w:bookmarkEnd w:id="408"/>
      <w:bookmarkEnd w:id="409"/>
    </w:p>
    <w:p w14:paraId="6BF276F8" w14:textId="186D358E" w:rsidR="00CB7716" w:rsidRPr="00A83AD8" w:rsidRDefault="00CB7716" w:rsidP="0000604C">
      <w:pPr>
        <w:spacing w:after="240"/>
        <w:rPr>
          <w:rFonts w:cs="Calibri"/>
        </w:rPr>
      </w:pPr>
      <w:r w:rsidRPr="00A83AD8">
        <w:rPr>
          <w:lang w:val="en-US"/>
        </w:rPr>
        <w:t xml:space="preserve">In </w:t>
      </w:r>
      <w:r>
        <w:rPr>
          <w:lang w:val="en-US"/>
        </w:rPr>
        <w:t>our</w:t>
      </w:r>
      <w:r w:rsidRPr="00A83AD8">
        <w:rPr>
          <w:lang w:val="en-US"/>
        </w:rPr>
        <w:t xml:space="preserve"> assessment of P1053, FSANZ has considered international best practice for food safety management arrangements based on the Codex </w:t>
      </w:r>
      <w:r w:rsidRPr="00A83AD8">
        <w:rPr>
          <w:rFonts w:cs="Calibri"/>
        </w:rPr>
        <w:t xml:space="preserve">General Principles for Food Hygiene (CXC1-1969). The General Principles </w:t>
      </w:r>
      <w:r>
        <w:rPr>
          <w:rFonts w:cs="Calibri"/>
        </w:rPr>
        <w:t xml:space="preserve">document </w:t>
      </w:r>
      <w:r w:rsidRPr="00A83AD8">
        <w:rPr>
          <w:rFonts w:cs="Calibri"/>
        </w:rPr>
        <w:t>was recently reviewed</w:t>
      </w:r>
      <w:r>
        <w:rPr>
          <w:rFonts w:cs="Calibri"/>
        </w:rPr>
        <w:t xml:space="preserve"> to include</w:t>
      </w:r>
      <w:r w:rsidRPr="00A83AD8">
        <w:rPr>
          <w:rFonts w:cs="Calibri"/>
        </w:rPr>
        <w:t>:</w:t>
      </w:r>
    </w:p>
    <w:p w14:paraId="4FCAEE25" w14:textId="77777777" w:rsidR="00CB7716" w:rsidRPr="00A83AD8" w:rsidRDefault="00CB7716" w:rsidP="00614AF5">
      <w:pPr>
        <w:pStyle w:val="ListParagraph"/>
        <w:numPr>
          <w:ilvl w:val="0"/>
          <w:numId w:val="95"/>
        </w:numPr>
        <w:spacing w:after="240"/>
      </w:pPr>
      <w:r w:rsidRPr="00A83AD8">
        <w:t>management commitment to food safety and a positive food safety culture – a section has been included in the final revision. It emphasises personnel’s awareness of the importance of food hygiene, clear roles and responsibilities, verifying controls and documentation are up to date, and appropriate training</w:t>
      </w:r>
      <w:r>
        <w:t xml:space="preserve">. </w:t>
      </w:r>
    </w:p>
    <w:p w14:paraId="78329408" w14:textId="77777777" w:rsidR="0000604C" w:rsidRPr="0000604C" w:rsidRDefault="00CB7716" w:rsidP="00614AF5">
      <w:pPr>
        <w:pStyle w:val="ListParagraph"/>
        <w:numPr>
          <w:ilvl w:val="0"/>
          <w:numId w:val="95"/>
        </w:numPr>
        <w:spacing w:after="240"/>
        <w:rPr>
          <w:rFonts w:cs="Times New Roman"/>
        </w:rPr>
      </w:pPr>
      <w:r>
        <w:t xml:space="preserve">the concept of additional food safety measures that are above general good hygienic practice (GHP) but are not considered critical control points (as defined within the Hazard Analysis and Critical Control Point [HACCP system). Initially these measures were described as ‘enhanced food safety control </w:t>
      </w:r>
      <w:bookmarkStart w:id="410" w:name="_Int_CpuCDnyT"/>
      <w:r>
        <w:t>measures’</w:t>
      </w:r>
      <w:bookmarkEnd w:id="410"/>
      <w:r>
        <w:t>. In the final revision, the text refers to GHPs that ‘require more attention’:</w:t>
      </w:r>
    </w:p>
    <w:p w14:paraId="38199072" w14:textId="4425C63B" w:rsidR="00CB7716" w:rsidRPr="0000604C" w:rsidRDefault="00CB7716" w:rsidP="0000604C">
      <w:pPr>
        <w:spacing w:after="240"/>
        <w:ind w:left="360"/>
      </w:pPr>
      <w:r w:rsidRPr="0000604C">
        <w:rPr>
          <w:rFonts w:cs="Calibri"/>
        </w:rPr>
        <w:t xml:space="preserve">Depending on the nature of the food, food process, and the potential for adverse health effects, to control hazards it may be sufficient to apply GHPs, including, as appropriate, some that </w:t>
      </w:r>
      <w:r w:rsidRPr="0000604C">
        <w:rPr>
          <w:rFonts w:cs="Calibri"/>
          <w:b/>
          <w:bCs/>
        </w:rPr>
        <w:t>require more attention</w:t>
      </w:r>
      <w:r w:rsidRPr="0000604C">
        <w:rPr>
          <w:rFonts w:cs="Calibri"/>
        </w:rPr>
        <w:t xml:space="preserve"> than others, as they have a greater impact on food safety. When the application of GHPs alone is not sufficient, a combination of GHPs and additional control measures at CCPs [critical control points] should be applied. (Codex 2019 report from</w:t>
      </w:r>
      <w:r w:rsidRPr="0000604C">
        <w:rPr>
          <w:rFonts w:eastAsia="Arial" w:cs="Arial"/>
        </w:rPr>
        <w:t xml:space="preserve"> </w:t>
      </w:r>
      <w:hyperlink r:id="rId70">
        <w:r w:rsidRPr="0000604C">
          <w:rPr>
            <w:rStyle w:val="Hyperlink"/>
            <w:rFonts w:eastAsia="Arial" w:cs="Arial"/>
          </w:rPr>
          <w:t>CCFH51</w:t>
        </w:r>
      </w:hyperlink>
      <w:r w:rsidRPr="0000604C">
        <w:rPr>
          <w:rFonts w:cs="Calibri"/>
        </w:rPr>
        <w:t>, Appendix IV).</w:t>
      </w:r>
    </w:p>
    <w:p w14:paraId="47C7421A" w14:textId="4C0E48C3" w:rsidR="00CB7716" w:rsidRPr="00A83AD8" w:rsidRDefault="00CB7716" w:rsidP="0000604C">
      <w:pPr>
        <w:spacing w:after="240"/>
      </w:pPr>
      <w:r w:rsidRPr="00A83AD8">
        <w:rPr>
          <w:rFonts w:cs="Calibri"/>
        </w:rPr>
        <w:t>In addition, the revised version includes some flexibility on the HACCP appro</w:t>
      </w:r>
      <w:r>
        <w:rPr>
          <w:rFonts w:cs="Calibri"/>
        </w:rPr>
        <w:t>ach for small and/or less-</w:t>
      </w:r>
      <w:r w:rsidRPr="00A83AD8">
        <w:rPr>
          <w:rFonts w:cs="Calibri"/>
        </w:rPr>
        <w:t xml:space="preserve">developed food businesses. This flexibility </w:t>
      </w:r>
      <w:r>
        <w:rPr>
          <w:rFonts w:cs="Calibri"/>
        </w:rPr>
        <w:t>enables</w:t>
      </w:r>
      <w:r w:rsidRPr="00A83AD8">
        <w:rPr>
          <w:rFonts w:cs="Calibri"/>
        </w:rPr>
        <w:t xml:space="preserve"> a risk-based approach </w:t>
      </w:r>
      <w:r w:rsidRPr="00A83AD8">
        <w:t>to determining food safety hazards and applying management measures</w:t>
      </w:r>
      <w:r w:rsidRPr="00A83AD8">
        <w:rPr>
          <w:rFonts w:cs="Calibri"/>
        </w:rPr>
        <w:t xml:space="preserve"> that does not unnecessarily burden businesses</w:t>
      </w:r>
      <w:r w:rsidRPr="00A83AD8">
        <w:t xml:space="preserve">. </w:t>
      </w:r>
    </w:p>
    <w:p w14:paraId="423FAD5F" w14:textId="77777777" w:rsidR="00CB7716" w:rsidRPr="0000604C" w:rsidRDefault="00CB7716" w:rsidP="0000604C">
      <w:pPr>
        <w:spacing w:after="240"/>
        <w:rPr>
          <w:b/>
          <w:i/>
        </w:rPr>
      </w:pPr>
      <w:bookmarkStart w:id="411" w:name="_Toc70953254"/>
      <w:bookmarkStart w:id="412" w:name="_Toc104808633"/>
      <w:bookmarkStart w:id="413" w:name="_Toc107412729"/>
      <w:r w:rsidRPr="0000604C">
        <w:rPr>
          <w:b/>
          <w:i/>
        </w:rPr>
        <w:t>Regulatory measures for food safety management</w:t>
      </w:r>
      <w:bookmarkEnd w:id="411"/>
      <w:bookmarkEnd w:id="412"/>
      <w:bookmarkEnd w:id="413"/>
      <w:r w:rsidRPr="0000604C">
        <w:rPr>
          <w:b/>
          <w:i/>
        </w:rPr>
        <w:t xml:space="preserve"> </w:t>
      </w:r>
    </w:p>
    <w:p w14:paraId="1FEAEBC2" w14:textId="2237CFA1" w:rsidR="00CB7716" w:rsidRDefault="00CB7716" w:rsidP="0000604C">
      <w:pPr>
        <w:spacing w:after="240"/>
      </w:pPr>
      <w:r>
        <w:t xml:space="preserve">Internationally, there is considerable variation in food safety regulatory measures in different countries. Examples of approaches taken, particularly food handler </w:t>
      </w:r>
      <w:bookmarkStart w:id="414" w:name="_Int_QWKlbMIz"/>
      <w:r>
        <w:t>training</w:t>
      </w:r>
      <w:bookmarkEnd w:id="414"/>
      <w:r>
        <w:t xml:space="preserve"> and supervision are outlined below.</w:t>
      </w:r>
    </w:p>
    <w:p w14:paraId="12632794" w14:textId="77777777" w:rsidR="00CB7716" w:rsidRPr="00A83AD8" w:rsidRDefault="00CB7716" w:rsidP="0000604C">
      <w:pPr>
        <w:spacing w:after="240"/>
      </w:pPr>
      <w:r>
        <w:t xml:space="preserve">In New Zealand, the </w:t>
      </w:r>
      <w:r w:rsidRPr="68C0CA2D">
        <w:rPr>
          <w:i/>
          <w:iCs/>
        </w:rPr>
        <w:t>Food Act 2014</w:t>
      </w:r>
      <w:r>
        <w:t xml:space="preserve"> focusses on the food production process rather than the premises on which the food is made. Food safety risk in New Zealand is managed through food control plans and, for lower risk food businesses, through national programs. </w:t>
      </w:r>
    </w:p>
    <w:p w14:paraId="00F211CA" w14:textId="303211FB" w:rsidR="00CB7716" w:rsidRDefault="00CB7716" w:rsidP="0000604C">
      <w:pPr>
        <w:spacing w:after="240"/>
      </w:pPr>
      <w:r>
        <w:t xml:space="preserve">In the United States, the Food and Drug Administration (FDA) </w:t>
      </w:r>
      <w:r w:rsidRPr="68C0CA2D">
        <w:rPr>
          <w:i/>
          <w:iCs/>
        </w:rPr>
        <w:t>Food Safety Modernization Act</w:t>
      </w:r>
      <w:r>
        <w:t xml:space="preserve"> (FSMA) is shifting the focus from responding to foodborne illness to preventing it. The FSMA requires mandatory accredited training for all food </w:t>
      </w:r>
      <w:bookmarkStart w:id="415" w:name="_Int_aY7QZCBM"/>
      <w:r>
        <w:t>handlers, and</w:t>
      </w:r>
      <w:bookmarkEnd w:id="415"/>
      <w:r>
        <w:t xml:space="preserve"> recommends competency-based training for a certified food safety supervisor. </w:t>
      </w:r>
    </w:p>
    <w:p w14:paraId="61A12EA0" w14:textId="596A11E0" w:rsidR="00CB7716" w:rsidRDefault="00CB7716" w:rsidP="0000604C">
      <w:pPr>
        <w:spacing w:after="240"/>
      </w:pPr>
      <w:r>
        <w:t xml:space="preserve">In Canada, the </w:t>
      </w:r>
      <w:r w:rsidRPr="68C0CA2D">
        <w:rPr>
          <w:i/>
          <w:iCs/>
        </w:rPr>
        <w:t>Safe Food for Canadians Act</w:t>
      </w:r>
      <w:r>
        <w:t xml:space="preserve"> (SFCA) and </w:t>
      </w:r>
      <w:r w:rsidRPr="68C0CA2D">
        <w:rPr>
          <w:i/>
          <w:iCs/>
        </w:rPr>
        <w:t>Food and Drugs Act</w:t>
      </w:r>
      <w:r>
        <w:t xml:space="preserve"> requires food businesses to employ staff that have obtained Food Handler Certification. For some managers/operators, training in a recognised food safety course may be mandatory depending on the local jurisdiction.</w:t>
      </w:r>
    </w:p>
    <w:p w14:paraId="7F868B76" w14:textId="77777777" w:rsidR="00CB7716" w:rsidRPr="00A83AD8" w:rsidRDefault="00CB7716" w:rsidP="0000604C">
      <w:pPr>
        <w:spacing w:after="240"/>
      </w:pPr>
      <w:r w:rsidRPr="00A83AD8">
        <w:t xml:space="preserve">The European Community and the United Kingdom have both taken preliminary steps toward centralising their food safety efforts. The incentives for these efforts include enhancing efficiency and reducing costs by providing a single, consolidated focus for food safety. Currently, </w:t>
      </w:r>
      <w:r>
        <w:t>in</w:t>
      </w:r>
      <w:r w:rsidRPr="00A83AD8">
        <w:t xml:space="preserve"> </w:t>
      </w:r>
      <w:r>
        <w:t xml:space="preserve">the </w:t>
      </w:r>
      <w:r w:rsidRPr="00A83AD8">
        <w:t>U</w:t>
      </w:r>
      <w:r>
        <w:t xml:space="preserve">nited </w:t>
      </w:r>
      <w:r w:rsidRPr="00A83AD8">
        <w:t>K</w:t>
      </w:r>
      <w:r>
        <w:t>ingdom</w:t>
      </w:r>
      <w:r w:rsidRPr="00A83AD8">
        <w:t xml:space="preserve"> there is no legal requirement for food handlers to attend a formal training course or get a qualification. However, food business operators must ensure </w:t>
      </w:r>
      <w:r w:rsidRPr="00A83AD8">
        <w:lastRenderedPageBreak/>
        <w:t xml:space="preserve">that food handlers receive appropriate supervision and training in food hygiene. </w:t>
      </w:r>
    </w:p>
    <w:p w14:paraId="67A12347" w14:textId="5CE3173C" w:rsidR="00CB7716" w:rsidRDefault="00CB7716" w:rsidP="0000604C">
      <w:pPr>
        <w:spacing w:after="240"/>
      </w:pPr>
      <w:r>
        <w:t>The</w:t>
      </w:r>
      <w:r w:rsidRPr="00A83AD8">
        <w:t xml:space="preserve"> Singapore Food Agency (SFA) has put in place an integrated food safety system to ensure that food is safe for consumption. Under this system, all food handlers who prepare and handle food need to be trained and registered with SFA. There is also a regulatory requirement that food hygiene officers assist licensees to ensure high standards of hygiene sanitation are mainta</w:t>
      </w:r>
      <w:r>
        <w:t xml:space="preserve">ined in the licensed premises. </w:t>
      </w:r>
    </w:p>
    <w:p w14:paraId="2BD34CE9" w14:textId="77777777" w:rsidR="00CB7716" w:rsidRPr="00373F1A" w:rsidRDefault="00CB7716" w:rsidP="00CB7716"/>
    <w:p w14:paraId="643A529F" w14:textId="77777777" w:rsidR="00CB7716" w:rsidRPr="00B301A9" w:rsidRDefault="00CB7716" w:rsidP="00CB7716">
      <w:pPr>
        <w:rPr>
          <w:b/>
        </w:rPr>
      </w:pPr>
    </w:p>
    <w:p w14:paraId="49825E88" w14:textId="77777777" w:rsidR="001B20D8" w:rsidRDefault="001B20D8" w:rsidP="008962CE">
      <w:pPr>
        <w:rPr>
          <w:lang w:bidi="ar-SA"/>
        </w:rPr>
        <w:sectPr w:rsidR="001B20D8" w:rsidSect="00370FF0">
          <w:pgSz w:w="11906" w:h="16838" w:code="9"/>
          <w:pgMar w:top="1418" w:right="1418" w:bottom="1418" w:left="1418" w:header="709" w:footer="709" w:gutter="0"/>
          <w:cols w:space="708"/>
          <w:docGrid w:linePitch="360"/>
        </w:sectPr>
      </w:pPr>
    </w:p>
    <w:p w14:paraId="539BC283" w14:textId="4B192EC9" w:rsidR="008962CE" w:rsidRPr="00CF136E" w:rsidRDefault="00337A02" w:rsidP="00CF136E">
      <w:pPr>
        <w:pStyle w:val="Heading1"/>
        <w:numPr>
          <w:ilvl w:val="0"/>
          <w:numId w:val="0"/>
        </w:numPr>
        <w:ind w:left="432" w:hanging="432"/>
        <w:rPr>
          <w:rFonts w:cs="Arial"/>
          <w:sz w:val="28"/>
          <w:szCs w:val="22"/>
        </w:rPr>
      </w:pPr>
      <w:bookmarkStart w:id="416" w:name="_Toc107412730"/>
      <w:bookmarkStart w:id="417" w:name="_Toc109300475"/>
      <w:r w:rsidRPr="00CF136E">
        <w:rPr>
          <w:rFonts w:cs="Arial"/>
          <w:sz w:val="28"/>
          <w:szCs w:val="22"/>
        </w:rPr>
        <w:lastRenderedPageBreak/>
        <w:t xml:space="preserve">Attachment D – </w:t>
      </w:r>
      <w:r w:rsidR="008962CE" w:rsidRPr="00CF136E">
        <w:rPr>
          <w:rFonts w:cs="Arial"/>
          <w:sz w:val="28"/>
          <w:szCs w:val="22"/>
        </w:rPr>
        <w:t xml:space="preserve">Summary of submissions </w:t>
      </w:r>
      <w:r w:rsidRPr="00CF136E">
        <w:rPr>
          <w:rFonts w:cs="Arial"/>
          <w:sz w:val="28"/>
          <w:szCs w:val="22"/>
        </w:rPr>
        <w:t>to the C</w:t>
      </w:r>
      <w:r w:rsidR="008962CE" w:rsidRPr="00CF136E">
        <w:rPr>
          <w:rFonts w:cs="Arial"/>
          <w:sz w:val="28"/>
          <w:szCs w:val="22"/>
        </w:rPr>
        <w:t xml:space="preserve">FS </w:t>
      </w:r>
      <w:r w:rsidRPr="00CF136E">
        <w:rPr>
          <w:rFonts w:cs="Arial"/>
          <w:sz w:val="28"/>
          <w:szCs w:val="22"/>
        </w:rPr>
        <w:t>(</w:t>
      </w:r>
      <w:r w:rsidR="008962CE" w:rsidRPr="00CF136E">
        <w:rPr>
          <w:rFonts w:cs="Arial"/>
          <w:sz w:val="28"/>
          <w:szCs w:val="22"/>
        </w:rPr>
        <w:t>Feb</w:t>
      </w:r>
      <w:r w:rsidRPr="00CF136E">
        <w:rPr>
          <w:rFonts w:cs="Arial"/>
          <w:sz w:val="28"/>
          <w:szCs w:val="22"/>
        </w:rPr>
        <w:t>ruary</w:t>
      </w:r>
      <w:r w:rsidR="008962CE" w:rsidRPr="00CF136E">
        <w:rPr>
          <w:rFonts w:cs="Arial"/>
          <w:sz w:val="28"/>
          <w:szCs w:val="22"/>
        </w:rPr>
        <w:t xml:space="preserve"> – April 2022)</w:t>
      </w:r>
      <w:bookmarkEnd w:id="416"/>
      <w:bookmarkEnd w:id="417"/>
    </w:p>
    <w:p w14:paraId="19820C49" w14:textId="77777777" w:rsidR="008962CE" w:rsidRPr="00F4389A" w:rsidRDefault="008962CE" w:rsidP="008962CE">
      <w:pPr>
        <w:spacing w:before="240"/>
      </w:pPr>
      <w:r>
        <w:t>The main points raised in s</w:t>
      </w:r>
      <w:r w:rsidRPr="00F4389A">
        <w:t>ubmission</w:t>
      </w:r>
      <w:r>
        <w:t>s and FSANZ’s responses to issues are summarised below. Note column 2 indicates the broad stakeholder group that raised the point and there may be some within that stakeholder group with a divergent view. Each submission is published and can be read separately to this summary.</w:t>
      </w:r>
    </w:p>
    <w:p w14:paraId="2D1E0731" w14:textId="77777777" w:rsidR="008962CE" w:rsidRDefault="008962CE" w:rsidP="008962CE"/>
    <w:tbl>
      <w:tblPr>
        <w:tblW w:w="14737" w:type="dxa"/>
        <w:tblLook w:val="04A0" w:firstRow="1" w:lastRow="0" w:firstColumn="1" w:lastColumn="0" w:noHBand="0" w:noVBand="1"/>
      </w:tblPr>
      <w:tblGrid>
        <w:gridCol w:w="6475"/>
        <w:gridCol w:w="1463"/>
        <w:gridCol w:w="6799"/>
      </w:tblGrid>
      <w:tr w:rsidR="008962CE" w:rsidRPr="001B0D24" w14:paraId="6B858A2C" w14:textId="77777777" w:rsidTr="00FD5F2E">
        <w:trPr>
          <w:tblHeader/>
        </w:trPr>
        <w:tc>
          <w:tcPr>
            <w:tcW w:w="6475" w:type="dxa"/>
            <w:shd w:val="clear" w:color="auto" w:fill="17365D" w:themeFill="text2" w:themeFillShade="BF"/>
          </w:tcPr>
          <w:p w14:paraId="74069EE4" w14:textId="77777777" w:rsidR="008962CE" w:rsidRPr="001B0D24" w:rsidRDefault="008962CE" w:rsidP="003A458A">
            <w:pPr>
              <w:rPr>
                <w:rFonts w:cs="Arial"/>
                <w:b/>
                <w:szCs w:val="20"/>
              </w:rPr>
            </w:pPr>
            <w:r w:rsidRPr="001B0D24">
              <w:rPr>
                <w:rFonts w:cs="Arial"/>
                <w:b/>
                <w:szCs w:val="20"/>
              </w:rPr>
              <w:t>Issue/comment</w:t>
            </w:r>
          </w:p>
        </w:tc>
        <w:tc>
          <w:tcPr>
            <w:tcW w:w="1463" w:type="dxa"/>
            <w:shd w:val="clear" w:color="auto" w:fill="17365D" w:themeFill="text2" w:themeFillShade="BF"/>
          </w:tcPr>
          <w:p w14:paraId="3D0A8498" w14:textId="77777777" w:rsidR="008962CE" w:rsidRPr="001B0D24" w:rsidRDefault="008962CE" w:rsidP="003A458A">
            <w:pPr>
              <w:rPr>
                <w:rFonts w:cs="Arial"/>
                <w:b/>
                <w:szCs w:val="20"/>
              </w:rPr>
            </w:pPr>
            <w:r w:rsidRPr="001B0D24">
              <w:rPr>
                <w:rFonts w:cs="Arial"/>
                <w:b/>
                <w:szCs w:val="20"/>
              </w:rPr>
              <w:t>From</w:t>
            </w:r>
          </w:p>
        </w:tc>
        <w:tc>
          <w:tcPr>
            <w:tcW w:w="6799" w:type="dxa"/>
            <w:shd w:val="clear" w:color="auto" w:fill="17365D" w:themeFill="text2" w:themeFillShade="BF"/>
          </w:tcPr>
          <w:p w14:paraId="578D871F" w14:textId="77777777" w:rsidR="008962CE" w:rsidRPr="001B0D24" w:rsidRDefault="008962CE" w:rsidP="003A458A">
            <w:pPr>
              <w:rPr>
                <w:rFonts w:cs="Arial"/>
                <w:b/>
                <w:szCs w:val="20"/>
              </w:rPr>
            </w:pPr>
            <w:r w:rsidRPr="001B0D24">
              <w:rPr>
                <w:rFonts w:cs="Arial"/>
                <w:b/>
                <w:szCs w:val="20"/>
              </w:rPr>
              <w:t>Response</w:t>
            </w:r>
          </w:p>
        </w:tc>
      </w:tr>
      <w:tr w:rsidR="008962CE" w14:paraId="524F9741" w14:textId="77777777" w:rsidTr="55CA05F7">
        <w:trPr>
          <w:trHeight w:val="360"/>
        </w:trPr>
        <w:tc>
          <w:tcPr>
            <w:tcW w:w="14737" w:type="dxa"/>
            <w:gridSpan w:val="3"/>
            <w:shd w:val="clear" w:color="auto" w:fill="EEECE1" w:themeFill="background2"/>
          </w:tcPr>
          <w:p w14:paraId="7D12B8FC" w14:textId="77777777" w:rsidR="008962CE" w:rsidRDefault="008962CE" w:rsidP="003A458A">
            <w:pPr>
              <w:rPr>
                <w:rFonts w:eastAsia="Arial" w:cs="Arial"/>
                <w:b/>
                <w:bCs/>
                <w:color w:val="000000" w:themeColor="text1"/>
                <w:sz w:val="20"/>
                <w:szCs w:val="20"/>
              </w:rPr>
            </w:pPr>
            <w:r w:rsidRPr="58A14E8B">
              <w:rPr>
                <w:rFonts w:eastAsia="Arial" w:cs="Arial"/>
                <w:b/>
                <w:bCs/>
                <w:color w:val="000000" w:themeColor="text1"/>
                <w:sz w:val="20"/>
                <w:szCs w:val="20"/>
              </w:rPr>
              <w:t>General</w:t>
            </w:r>
          </w:p>
        </w:tc>
      </w:tr>
      <w:tr w:rsidR="008962CE" w14:paraId="3E6E77A3" w14:textId="77777777" w:rsidTr="00FD5F2E">
        <w:tc>
          <w:tcPr>
            <w:tcW w:w="6475" w:type="dxa"/>
          </w:tcPr>
          <w:p w14:paraId="526A6E41" w14:textId="5962F98A" w:rsidR="008962CE" w:rsidRDefault="008962CE" w:rsidP="003A458A">
            <w:pPr>
              <w:rPr>
                <w:rFonts w:eastAsia="Arial" w:cs="Arial"/>
                <w:color w:val="000000" w:themeColor="text1"/>
                <w:sz w:val="20"/>
                <w:szCs w:val="20"/>
              </w:rPr>
            </w:pPr>
            <w:r w:rsidRPr="58A14E8B">
              <w:rPr>
                <w:rFonts w:eastAsia="Arial" w:cs="Arial"/>
                <w:color w:val="000000" w:themeColor="text1"/>
                <w:sz w:val="20"/>
                <w:szCs w:val="20"/>
              </w:rPr>
              <w:t xml:space="preserve">Reword the new </w:t>
            </w:r>
            <w:r w:rsidR="00FD5F2E">
              <w:rPr>
                <w:rFonts w:eastAsia="Arial" w:cs="Arial"/>
                <w:color w:val="000000" w:themeColor="text1"/>
                <w:sz w:val="20"/>
                <w:szCs w:val="20"/>
              </w:rPr>
              <w:t>Standard</w:t>
            </w:r>
            <w:r w:rsidR="00FD5F2E" w:rsidRPr="58A14E8B">
              <w:rPr>
                <w:rFonts w:eastAsia="Arial" w:cs="Arial"/>
                <w:color w:val="000000" w:themeColor="text1"/>
                <w:sz w:val="20"/>
                <w:szCs w:val="20"/>
              </w:rPr>
              <w:t xml:space="preserve"> </w:t>
            </w:r>
            <w:r w:rsidRPr="58A14E8B">
              <w:rPr>
                <w:rFonts w:eastAsia="Arial" w:cs="Arial"/>
                <w:color w:val="000000" w:themeColor="text1"/>
                <w:sz w:val="20"/>
                <w:szCs w:val="20"/>
              </w:rPr>
              <w:t>in plain English to assist in understanding by authorised officers and food businesses.</w:t>
            </w:r>
          </w:p>
          <w:p w14:paraId="5814A50E" w14:textId="77777777" w:rsidR="008962CE" w:rsidRDefault="008962CE" w:rsidP="003A458A">
            <w:pPr>
              <w:rPr>
                <w:rFonts w:cs="Arial"/>
                <w:b/>
                <w:bCs/>
              </w:rPr>
            </w:pPr>
          </w:p>
        </w:tc>
        <w:tc>
          <w:tcPr>
            <w:tcW w:w="1463" w:type="dxa"/>
          </w:tcPr>
          <w:p w14:paraId="2B0CE414" w14:textId="5349F699" w:rsidR="008962CE" w:rsidRDefault="00FD5F2E" w:rsidP="003A458A">
            <w:pPr>
              <w:rPr>
                <w:rFonts w:eastAsia="Arial" w:cs="Arial"/>
                <w:color w:val="000000" w:themeColor="text1"/>
                <w:sz w:val="20"/>
                <w:szCs w:val="20"/>
              </w:rPr>
            </w:pPr>
            <w:r>
              <w:rPr>
                <w:rFonts w:eastAsia="Arial" w:cs="Arial"/>
                <w:color w:val="000000" w:themeColor="text1"/>
                <w:sz w:val="20"/>
                <w:szCs w:val="20"/>
              </w:rPr>
              <w:t>l</w:t>
            </w:r>
            <w:r w:rsidR="008962CE" w:rsidRPr="58A14E8B">
              <w:rPr>
                <w:rFonts w:eastAsia="Arial" w:cs="Arial"/>
                <w:color w:val="000000" w:themeColor="text1"/>
                <w:sz w:val="20"/>
                <w:szCs w:val="20"/>
              </w:rPr>
              <w:t>ocal council</w:t>
            </w:r>
          </w:p>
          <w:p w14:paraId="28968C83" w14:textId="77777777" w:rsidR="008962CE" w:rsidRDefault="008962CE" w:rsidP="003A458A">
            <w:pPr>
              <w:rPr>
                <w:rFonts w:cs="Arial"/>
                <w:b/>
                <w:bCs/>
              </w:rPr>
            </w:pPr>
          </w:p>
        </w:tc>
        <w:tc>
          <w:tcPr>
            <w:tcW w:w="6799" w:type="dxa"/>
          </w:tcPr>
          <w:p w14:paraId="32994EBD" w14:textId="7AC05538" w:rsidR="008962CE" w:rsidRPr="00FD5F2E" w:rsidRDefault="00FD5F2E" w:rsidP="003A458A">
            <w:pPr>
              <w:rPr>
                <w:rFonts w:eastAsia="Arial" w:cs="Arial"/>
                <w:color w:val="000000" w:themeColor="text1"/>
                <w:sz w:val="20"/>
                <w:szCs w:val="20"/>
              </w:rPr>
            </w:pPr>
            <w:r w:rsidRPr="00FD5F2E">
              <w:rPr>
                <w:rFonts w:eastAsia="Arial" w:cs="Arial"/>
                <w:color w:val="000000" w:themeColor="text1"/>
                <w:sz w:val="20"/>
                <w:szCs w:val="20"/>
              </w:rPr>
              <w:t>FSANZ is satisfied that the language used in the Standard 3.2.2.A and the Code is appropriate given their context and purpose, and the subject matter which they must address and regulate. The Code is progressively being revised, with Food Ministers adopting revised Chapters 1 and 2 of the Code in 2016. Revision of Chapters 3 and 4 will commence in the near future. FSANZ also notes no other submission raised this as an issue.</w:t>
            </w:r>
          </w:p>
        </w:tc>
      </w:tr>
      <w:tr w:rsidR="008962CE" w14:paraId="0294E013" w14:textId="77777777" w:rsidTr="00FD5F2E">
        <w:tc>
          <w:tcPr>
            <w:tcW w:w="6475" w:type="dxa"/>
          </w:tcPr>
          <w:p w14:paraId="2EF06CED" w14:textId="77777777" w:rsidR="008962CE" w:rsidRDefault="008962CE" w:rsidP="003A458A">
            <w:pPr>
              <w:rPr>
                <w:rFonts w:cs="Arial"/>
                <w:sz w:val="20"/>
                <w:szCs w:val="20"/>
              </w:rPr>
            </w:pPr>
            <w:r w:rsidRPr="58A14E8B">
              <w:rPr>
                <w:rFonts w:cs="Arial"/>
                <w:sz w:val="20"/>
                <w:szCs w:val="20"/>
              </w:rPr>
              <w:t>Success will rely on: continued evaluation and development; ability to remain responsive to contemporary food safety issues and capacity to transform food handler behaviours; cooperation between policymakers, regulatory authorities, food industry and registered training organisations.</w:t>
            </w:r>
          </w:p>
          <w:p w14:paraId="588F893A" w14:textId="77777777" w:rsidR="008962CE" w:rsidRDefault="008962CE" w:rsidP="003A458A">
            <w:pPr>
              <w:rPr>
                <w:rFonts w:eastAsia="Arial" w:cs="Arial"/>
                <w:color w:val="000000" w:themeColor="text1"/>
                <w:sz w:val="20"/>
                <w:szCs w:val="20"/>
              </w:rPr>
            </w:pPr>
          </w:p>
        </w:tc>
        <w:tc>
          <w:tcPr>
            <w:tcW w:w="1463" w:type="dxa"/>
          </w:tcPr>
          <w:p w14:paraId="15905AB4" w14:textId="58A97651" w:rsidR="008962CE" w:rsidRDefault="00FD5F2E" w:rsidP="003A458A">
            <w:pPr>
              <w:rPr>
                <w:rFonts w:eastAsia="Arial" w:cs="Arial"/>
                <w:color w:val="000000" w:themeColor="text1"/>
                <w:sz w:val="20"/>
                <w:szCs w:val="20"/>
              </w:rPr>
            </w:pPr>
            <w:r>
              <w:rPr>
                <w:rFonts w:eastAsia="Arial" w:cs="Arial"/>
                <w:color w:val="000000" w:themeColor="text1"/>
                <w:sz w:val="20"/>
                <w:szCs w:val="20"/>
              </w:rPr>
              <w:t>l</w:t>
            </w:r>
            <w:r w:rsidR="008962CE" w:rsidRPr="58A14E8B">
              <w:rPr>
                <w:rFonts w:eastAsia="Arial" w:cs="Arial"/>
                <w:color w:val="000000" w:themeColor="text1"/>
                <w:sz w:val="20"/>
                <w:szCs w:val="20"/>
              </w:rPr>
              <w:t>ocal council</w:t>
            </w:r>
          </w:p>
        </w:tc>
        <w:tc>
          <w:tcPr>
            <w:tcW w:w="6799" w:type="dxa"/>
          </w:tcPr>
          <w:p w14:paraId="5DF45CB1" w14:textId="30E118DE" w:rsidR="008962CE" w:rsidRPr="00FD5F2E" w:rsidRDefault="00424454" w:rsidP="00D42B5D">
            <w:pPr>
              <w:rPr>
                <w:rFonts w:eastAsia="Arial" w:cs="Arial"/>
                <w:color w:val="000000" w:themeColor="text1"/>
                <w:sz w:val="20"/>
                <w:szCs w:val="20"/>
              </w:rPr>
            </w:pPr>
            <w:r w:rsidRPr="00FD5F2E">
              <w:rPr>
                <w:rFonts w:cs="Arial"/>
                <w:sz w:val="20"/>
                <w:szCs w:val="20"/>
              </w:rPr>
              <w:t xml:space="preserve">Noted. </w:t>
            </w:r>
            <w:r w:rsidR="00D42B5D" w:rsidRPr="00FD5F2E">
              <w:rPr>
                <w:rFonts w:eastAsia="Arial" w:cs="Arial"/>
                <w:color w:val="000000" w:themeColor="text1"/>
                <w:sz w:val="20"/>
                <w:szCs w:val="20"/>
              </w:rPr>
              <w:t xml:space="preserve">Through the Implementation Sub Committee for Food Regulation (ISFR), jurisdictions discuss common approaches to implementation and develop agreed strategies to achieve a consistent approach to the way food regulations are implemented, interpreted and enforced across jurisdictions. FSANZ will continue to engage with the ISFR food safety management working group to </w:t>
            </w:r>
            <w:r w:rsidRPr="00FD5F2E">
              <w:rPr>
                <w:rFonts w:eastAsia="Arial" w:cs="Arial"/>
                <w:color w:val="000000" w:themeColor="text1"/>
                <w:sz w:val="20"/>
                <w:szCs w:val="20"/>
              </w:rPr>
              <w:t xml:space="preserve">assist ISFR </w:t>
            </w:r>
            <w:r w:rsidR="00D42B5D" w:rsidRPr="00FD5F2E">
              <w:rPr>
                <w:rFonts w:eastAsia="Arial" w:cs="Arial"/>
                <w:color w:val="000000" w:themeColor="text1"/>
                <w:sz w:val="20"/>
                <w:szCs w:val="20"/>
              </w:rPr>
              <w:t>develop guidance tools to support Standard 3.2.2A.</w:t>
            </w:r>
          </w:p>
        </w:tc>
      </w:tr>
      <w:tr w:rsidR="008962CE" w:rsidRPr="001B0D24" w14:paraId="7703B489" w14:textId="77777777" w:rsidTr="00FD5F2E">
        <w:tc>
          <w:tcPr>
            <w:tcW w:w="7938" w:type="dxa"/>
            <w:gridSpan w:val="2"/>
            <w:shd w:val="clear" w:color="auto" w:fill="EEECE1" w:themeFill="background2"/>
          </w:tcPr>
          <w:p w14:paraId="2464F05A" w14:textId="77777777" w:rsidR="008962CE" w:rsidRDefault="008962CE" w:rsidP="003A458A">
            <w:pPr>
              <w:rPr>
                <w:rFonts w:cs="Arial"/>
                <w:b/>
                <w:sz w:val="20"/>
                <w:szCs w:val="20"/>
              </w:rPr>
            </w:pPr>
            <w:r w:rsidRPr="001B0D24">
              <w:rPr>
                <w:rFonts w:cs="Arial"/>
                <w:b/>
                <w:sz w:val="20"/>
                <w:szCs w:val="20"/>
              </w:rPr>
              <w:t>Support for preferred (</w:t>
            </w:r>
            <w:r>
              <w:rPr>
                <w:rFonts w:cs="Arial"/>
                <w:b/>
                <w:sz w:val="20"/>
                <w:szCs w:val="20"/>
              </w:rPr>
              <w:t>risk-proportionate regulatory</w:t>
            </w:r>
            <w:r w:rsidRPr="001B0D24">
              <w:rPr>
                <w:rFonts w:cs="Arial"/>
                <w:b/>
                <w:sz w:val="20"/>
                <w:szCs w:val="20"/>
              </w:rPr>
              <w:t xml:space="preserve">) option </w:t>
            </w:r>
          </w:p>
          <w:p w14:paraId="4F65700F" w14:textId="77777777" w:rsidR="008962CE" w:rsidRPr="001B0D24" w:rsidRDefault="008962CE" w:rsidP="003A458A">
            <w:pPr>
              <w:rPr>
                <w:rFonts w:cs="Arial"/>
                <w:b/>
                <w:sz w:val="20"/>
                <w:szCs w:val="20"/>
              </w:rPr>
            </w:pPr>
          </w:p>
        </w:tc>
        <w:tc>
          <w:tcPr>
            <w:tcW w:w="6799" w:type="dxa"/>
            <w:shd w:val="clear" w:color="auto" w:fill="EEECE1" w:themeFill="background2"/>
          </w:tcPr>
          <w:p w14:paraId="0188C53F" w14:textId="77777777" w:rsidR="008962CE" w:rsidRPr="001B0D24" w:rsidRDefault="008962CE" w:rsidP="003A458A">
            <w:pPr>
              <w:rPr>
                <w:rFonts w:cs="Arial"/>
                <w:b/>
                <w:sz w:val="20"/>
                <w:szCs w:val="20"/>
              </w:rPr>
            </w:pPr>
          </w:p>
        </w:tc>
      </w:tr>
      <w:tr w:rsidR="008962CE" w:rsidRPr="00CF23F2" w14:paraId="5064BB8D" w14:textId="77777777" w:rsidTr="00FD5F2E">
        <w:tc>
          <w:tcPr>
            <w:tcW w:w="6475" w:type="dxa"/>
          </w:tcPr>
          <w:p w14:paraId="6431E3E1" w14:textId="77777777" w:rsidR="008962CE" w:rsidRPr="00CF23F2" w:rsidRDefault="008962CE" w:rsidP="003A458A">
            <w:pPr>
              <w:rPr>
                <w:rFonts w:cs="Arial"/>
                <w:sz w:val="20"/>
                <w:szCs w:val="20"/>
              </w:rPr>
            </w:pPr>
            <w:r w:rsidRPr="00CF23F2">
              <w:rPr>
                <w:rFonts w:cs="Arial"/>
                <w:sz w:val="20"/>
                <w:szCs w:val="20"/>
              </w:rPr>
              <w:t>Agree:</w:t>
            </w:r>
          </w:p>
          <w:p w14:paraId="69001AB5" w14:textId="77777777" w:rsidR="008962CE" w:rsidRPr="00CF23F2" w:rsidRDefault="008962CE" w:rsidP="00614AF5">
            <w:pPr>
              <w:pStyle w:val="ListParagraph"/>
              <w:numPr>
                <w:ilvl w:val="0"/>
                <w:numId w:val="13"/>
              </w:numPr>
              <w:rPr>
                <w:rFonts w:cs="Arial"/>
                <w:sz w:val="20"/>
                <w:szCs w:val="20"/>
              </w:rPr>
            </w:pPr>
            <w:r w:rsidRPr="00CF23F2">
              <w:rPr>
                <w:rFonts w:cs="Arial"/>
                <w:sz w:val="20"/>
                <w:szCs w:val="20"/>
              </w:rPr>
              <w:t xml:space="preserve">with </w:t>
            </w:r>
            <w:r w:rsidRPr="00B218F0">
              <w:rPr>
                <w:rFonts w:cs="Arial"/>
                <w:sz w:val="20"/>
                <w:szCs w:val="20"/>
              </w:rPr>
              <w:t xml:space="preserve">graduated approach and focusing regulatory activity where risks are highest </w:t>
            </w:r>
          </w:p>
          <w:p w14:paraId="440D8824" w14:textId="77777777" w:rsidR="008962CE" w:rsidRPr="00CF23F2" w:rsidRDefault="008962CE" w:rsidP="00614AF5">
            <w:pPr>
              <w:pStyle w:val="ListParagraph"/>
              <w:numPr>
                <w:ilvl w:val="0"/>
                <w:numId w:val="13"/>
              </w:numPr>
              <w:rPr>
                <w:rFonts w:cs="Arial"/>
                <w:sz w:val="20"/>
                <w:szCs w:val="20"/>
              </w:rPr>
            </w:pPr>
            <w:r w:rsidRPr="00CF23F2">
              <w:rPr>
                <w:rFonts w:cs="Arial"/>
                <w:sz w:val="20"/>
                <w:szCs w:val="20"/>
              </w:rPr>
              <w:t>with a nationally consistent approach/ even playing field</w:t>
            </w:r>
          </w:p>
          <w:p w14:paraId="562CA69E" w14:textId="77777777" w:rsidR="008962CE" w:rsidRPr="00CF23F2" w:rsidRDefault="008962CE" w:rsidP="00614AF5">
            <w:pPr>
              <w:pStyle w:val="ListParagraph"/>
              <w:numPr>
                <w:ilvl w:val="0"/>
                <w:numId w:val="13"/>
              </w:numPr>
              <w:rPr>
                <w:rFonts w:cs="Arial"/>
                <w:sz w:val="20"/>
                <w:szCs w:val="20"/>
              </w:rPr>
            </w:pPr>
            <w:r w:rsidRPr="00CF23F2">
              <w:rPr>
                <w:rFonts w:cs="Arial"/>
                <w:sz w:val="20"/>
                <w:szCs w:val="20"/>
              </w:rPr>
              <w:t>there is a clear link between catering and food service sector and foodborne illness</w:t>
            </w:r>
            <w:r>
              <w:rPr>
                <w:rFonts w:cs="Arial"/>
                <w:sz w:val="20"/>
                <w:szCs w:val="20"/>
              </w:rPr>
              <w:t xml:space="preserve"> that needs to be addressed</w:t>
            </w:r>
            <w:r w:rsidRPr="00CF23F2">
              <w:rPr>
                <w:rFonts w:cs="Arial"/>
                <w:sz w:val="20"/>
                <w:szCs w:val="20"/>
              </w:rPr>
              <w:t xml:space="preserve"> </w:t>
            </w:r>
          </w:p>
          <w:p w14:paraId="0A00D790" w14:textId="77777777" w:rsidR="008962CE" w:rsidRPr="00CF23F2" w:rsidRDefault="008962CE" w:rsidP="00614AF5">
            <w:pPr>
              <w:pStyle w:val="ListParagraph"/>
              <w:numPr>
                <w:ilvl w:val="0"/>
                <w:numId w:val="13"/>
              </w:numPr>
              <w:rPr>
                <w:rFonts w:cs="Arial"/>
                <w:sz w:val="20"/>
                <w:szCs w:val="20"/>
              </w:rPr>
            </w:pPr>
            <w:r w:rsidRPr="00CF23F2">
              <w:rPr>
                <w:rFonts w:cs="Arial"/>
                <w:sz w:val="20"/>
                <w:szCs w:val="20"/>
              </w:rPr>
              <w:t>benefits and costs have been appropriately assessed - measures strike appropriate balance between industry burden and protecting public health</w:t>
            </w:r>
          </w:p>
          <w:p w14:paraId="5D5A72D2" w14:textId="77777777" w:rsidR="008962CE" w:rsidRPr="00B218F0" w:rsidRDefault="008962CE" w:rsidP="00614AF5">
            <w:pPr>
              <w:pStyle w:val="ListParagraph"/>
              <w:numPr>
                <w:ilvl w:val="0"/>
                <w:numId w:val="13"/>
              </w:numPr>
              <w:rPr>
                <w:rFonts w:cs="Arial"/>
                <w:sz w:val="20"/>
                <w:szCs w:val="20"/>
              </w:rPr>
            </w:pPr>
            <w:r w:rsidRPr="724B7FB2">
              <w:rPr>
                <w:rFonts w:cs="Arial"/>
                <w:sz w:val="20"/>
                <w:szCs w:val="20"/>
              </w:rPr>
              <w:t>there is benefit of aligning with/ using tools already implemented (in other jurisdictions) – and these could be made nationally available.</w:t>
            </w:r>
          </w:p>
          <w:p w14:paraId="71F3D560" w14:textId="77777777" w:rsidR="008962CE" w:rsidRPr="00B218F0" w:rsidRDefault="008962CE" w:rsidP="00614AF5">
            <w:pPr>
              <w:pStyle w:val="ListParagraph"/>
              <w:numPr>
                <w:ilvl w:val="0"/>
                <w:numId w:val="13"/>
              </w:numPr>
              <w:rPr>
                <w:rFonts w:cs="Arial"/>
                <w:sz w:val="20"/>
                <w:szCs w:val="20"/>
              </w:rPr>
            </w:pPr>
            <w:r w:rsidRPr="724B7FB2">
              <w:rPr>
                <w:rFonts w:cs="Arial"/>
                <w:sz w:val="20"/>
                <w:szCs w:val="20"/>
              </w:rPr>
              <w:lastRenderedPageBreak/>
              <w:t>the proposed measures support the focus of Australia’s Foodborne Illness Reduction Strategy.</w:t>
            </w:r>
          </w:p>
          <w:p w14:paraId="324DC414" w14:textId="77777777" w:rsidR="008962CE" w:rsidRPr="00B218F0" w:rsidRDefault="008962CE" w:rsidP="00614AF5">
            <w:pPr>
              <w:pStyle w:val="ListParagraph"/>
              <w:numPr>
                <w:ilvl w:val="0"/>
                <w:numId w:val="13"/>
              </w:numPr>
              <w:rPr>
                <w:rFonts w:cs="Arial"/>
                <w:sz w:val="20"/>
                <w:szCs w:val="20"/>
              </w:rPr>
            </w:pPr>
            <w:r w:rsidRPr="724B7FB2">
              <w:rPr>
                <w:rFonts w:cs="Arial"/>
                <w:sz w:val="20"/>
                <w:szCs w:val="20"/>
              </w:rPr>
              <w:t>the proposed measures should improve food safety culture, skills, knowledge, food safety practices and reduce foodborne illness.</w:t>
            </w:r>
          </w:p>
          <w:p w14:paraId="6C680503" w14:textId="77777777" w:rsidR="008962CE" w:rsidRPr="00B218F0" w:rsidRDefault="008962CE" w:rsidP="003A458A">
            <w:pPr>
              <w:rPr>
                <w:rFonts w:cs="Arial"/>
                <w:sz w:val="20"/>
                <w:szCs w:val="20"/>
              </w:rPr>
            </w:pPr>
          </w:p>
        </w:tc>
        <w:tc>
          <w:tcPr>
            <w:tcW w:w="1463" w:type="dxa"/>
          </w:tcPr>
          <w:p w14:paraId="6D952472" w14:textId="77777777" w:rsidR="008962CE" w:rsidRPr="00CF23F2" w:rsidRDefault="008962CE" w:rsidP="003A458A">
            <w:pPr>
              <w:rPr>
                <w:rFonts w:cs="Arial"/>
                <w:sz w:val="20"/>
                <w:szCs w:val="20"/>
              </w:rPr>
            </w:pPr>
            <w:r w:rsidRPr="00CF23F2">
              <w:rPr>
                <w:rFonts w:cs="Arial"/>
                <w:sz w:val="20"/>
                <w:szCs w:val="20"/>
              </w:rPr>
              <w:lastRenderedPageBreak/>
              <w:t xml:space="preserve">state/territory government, local council, advocacy group, service provider, equipment provider, industry association </w:t>
            </w:r>
          </w:p>
        </w:tc>
        <w:tc>
          <w:tcPr>
            <w:tcW w:w="6799" w:type="dxa"/>
          </w:tcPr>
          <w:p w14:paraId="0DA41A09" w14:textId="773D3B63" w:rsidR="008962CE" w:rsidRPr="00FD5F2E" w:rsidRDefault="008962CE" w:rsidP="003A458A">
            <w:pPr>
              <w:pStyle w:val="CommentText"/>
              <w:rPr>
                <w:rFonts w:cs="Arial"/>
              </w:rPr>
            </w:pPr>
            <w:r w:rsidRPr="00FD5F2E">
              <w:rPr>
                <w:rFonts w:cs="Arial"/>
              </w:rPr>
              <w:t xml:space="preserve">Noted. For the reasons </w:t>
            </w:r>
            <w:r w:rsidR="00FD5F2E" w:rsidRPr="00FD5F2E">
              <w:rPr>
                <w:rFonts w:cs="Arial"/>
              </w:rPr>
              <w:t>listed in</w:t>
            </w:r>
            <w:r w:rsidRPr="00FD5F2E">
              <w:rPr>
                <w:rFonts w:cs="Arial"/>
              </w:rPr>
              <w:t xml:space="preserve"> this report</w:t>
            </w:r>
            <w:r w:rsidR="00FD5F2E" w:rsidRPr="00FD5F2E">
              <w:rPr>
                <w:rFonts w:cs="Arial"/>
              </w:rPr>
              <w:t xml:space="preserve">, the earlier </w:t>
            </w:r>
            <w:r w:rsidRPr="00FD5F2E">
              <w:rPr>
                <w:rFonts w:cs="Arial"/>
              </w:rPr>
              <w:t>call for submission</w:t>
            </w:r>
            <w:r w:rsidR="00FD5F2E" w:rsidRPr="00FD5F2E">
              <w:rPr>
                <w:rFonts w:cs="Arial"/>
              </w:rPr>
              <w:t>s and the</w:t>
            </w:r>
            <w:r w:rsidRPr="00FD5F2E">
              <w:rPr>
                <w:rFonts w:cs="Arial"/>
              </w:rPr>
              <w:t xml:space="preserve"> supporting documents, FSANZ</w:t>
            </w:r>
            <w:r w:rsidR="00424454" w:rsidRPr="00FD5F2E">
              <w:rPr>
                <w:rFonts w:cs="Arial"/>
              </w:rPr>
              <w:t xml:space="preserve"> is satisfied that</w:t>
            </w:r>
            <w:r w:rsidR="00C30971" w:rsidRPr="00FD5F2E">
              <w:rPr>
                <w:rFonts w:cs="Arial"/>
              </w:rPr>
              <w:t xml:space="preserve"> </w:t>
            </w:r>
            <w:r w:rsidRPr="00FD5F2E">
              <w:rPr>
                <w:rFonts w:cs="Arial"/>
              </w:rPr>
              <w:t>the approved draft standard (‘the standard’) will provide nationally consistent food safety measures that will reduce the incidence of foodborne illness attributed to food service and related retail businesses.</w:t>
            </w:r>
            <w:r w:rsidR="00FD5F2E" w:rsidRPr="00FD5F2E">
              <w:rPr>
                <w:rFonts w:cs="Arial"/>
              </w:rPr>
              <w:t xml:space="preserve"> FSANZ notes in particular the evidence summarised in the DRIS.</w:t>
            </w:r>
          </w:p>
          <w:p w14:paraId="6B877F0B" w14:textId="77777777" w:rsidR="008962CE" w:rsidRPr="00FD5F2E" w:rsidRDefault="008962CE" w:rsidP="003A458A">
            <w:pPr>
              <w:rPr>
                <w:rFonts w:cs="Arial"/>
                <w:sz w:val="20"/>
                <w:szCs w:val="20"/>
              </w:rPr>
            </w:pPr>
          </w:p>
          <w:p w14:paraId="4821B68B" w14:textId="77777777" w:rsidR="008962CE" w:rsidRPr="00FD5F2E" w:rsidRDefault="008962CE" w:rsidP="003A458A">
            <w:pPr>
              <w:rPr>
                <w:rFonts w:cs="Arial"/>
                <w:sz w:val="20"/>
                <w:szCs w:val="20"/>
              </w:rPr>
            </w:pPr>
            <w:r w:rsidRPr="00FD5F2E">
              <w:rPr>
                <w:rFonts w:cs="Arial"/>
                <w:sz w:val="20"/>
                <w:szCs w:val="20"/>
              </w:rPr>
              <w:t xml:space="preserve">By establishing these enhanced food safety requirements in the Code, the standard sets the expectations for all businesses in scope with guidance to support consistent uptake. It provides a graduated approach where businesses with higher risks have more stringent requirements and more tools to manage their risks. This work contributes to achieving </w:t>
            </w:r>
            <w:hyperlink r:id="rId71" w:anchor=":~:text=The%20aim%20of%20Australia%E2%80%99s%20Foodborne%20Illness%20Reduction%20Strategy,ways%20e.g.%20qualitative%2C%20quantitative%20or%20reduction%20in%20outbreaks.">
              <w:r w:rsidRPr="00FD5F2E">
                <w:rPr>
                  <w:rStyle w:val="Hyperlink"/>
                  <w:rFonts w:cs="Arial"/>
                  <w:sz w:val="20"/>
                  <w:szCs w:val="20"/>
                </w:rPr>
                <w:t>Australia’s Foodborne Illness reduction Strategy 2018-2021+</w:t>
              </w:r>
            </w:hyperlink>
            <w:r w:rsidRPr="00FD5F2E">
              <w:rPr>
                <w:rFonts w:cs="Arial"/>
                <w:sz w:val="20"/>
                <w:szCs w:val="20"/>
              </w:rPr>
              <w:t xml:space="preserve">. The standard is </w:t>
            </w:r>
            <w:r w:rsidRPr="00FD5F2E">
              <w:rPr>
                <w:rFonts w:cs="Arial"/>
                <w:sz w:val="20"/>
                <w:szCs w:val="20"/>
              </w:rPr>
              <w:lastRenderedPageBreak/>
              <w:t>considered in the context of the benefits to the community of reducing foodborne illness and the costs associated with illness. See the DRIS for further details.</w:t>
            </w:r>
          </w:p>
        </w:tc>
      </w:tr>
      <w:tr w:rsidR="008962CE" w:rsidRPr="00CF23F2" w14:paraId="508C2BAF" w14:textId="77777777" w:rsidTr="00FD5F2E">
        <w:tc>
          <w:tcPr>
            <w:tcW w:w="6475" w:type="dxa"/>
          </w:tcPr>
          <w:p w14:paraId="437BEDE2" w14:textId="77777777" w:rsidR="008962CE" w:rsidRPr="0009415F" w:rsidRDefault="008962CE" w:rsidP="003A458A">
            <w:pPr>
              <w:rPr>
                <w:rFonts w:cs="Arial"/>
                <w:b/>
                <w:sz w:val="20"/>
                <w:szCs w:val="20"/>
              </w:rPr>
            </w:pPr>
            <w:r w:rsidRPr="0009415F">
              <w:rPr>
                <w:rFonts w:cs="Arial"/>
                <w:b/>
                <w:sz w:val="20"/>
                <w:szCs w:val="20"/>
              </w:rPr>
              <w:lastRenderedPageBreak/>
              <w:t xml:space="preserve">Support for FSS requirement </w:t>
            </w:r>
          </w:p>
          <w:p w14:paraId="0461D2E5" w14:textId="77777777" w:rsidR="008962CE" w:rsidRPr="00B218F0" w:rsidRDefault="008962CE" w:rsidP="00614AF5">
            <w:pPr>
              <w:pStyle w:val="ListParagraph"/>
              <w:numPr>
                <w:ilvl w:val="0"/>
                <w:numId w:val="17"/>
              </w:numPr>
              <w:rPr>
                <w:rFonts w:cs="Arial"/>
                <w:sz w:val="20"/>
                <w:szCs w:val="20"/>
              </w:rPr>
            </w:pPr>
            <w:r w:rsidRPr="00B218F0">
              <w:rPr>
                <w:rFonts w:cs="Arial"/>
                <w:sz w:val="20"/>
                <w:szCs w:val="20"/>
              </w:rPr>
              <w:t>Requirements will be easily implemented through mirroring other jurisdictions</w:t>
            </w:r>
            <w:r>
              <w:rPr>
                <w:rFonts w:cs="Arial"/>
                <w:sz w:val="20"/>
                <w:szCs w:val="20"/>
              </w:rPr>
              <w:t>.</w:t>
            </w:r>
          </w:p>
          <w:p w14:paraId="37E43BDC" w14:textId="77777777" w:rsidR="008962CE" w:rsidRDefault="008962CE" w:rsidP="00614AF5">
            <w:pPr>
              <w:pStyle w:val="ListParagraph"/>
              <w:numPr>
                <w:ilvl w:val="0"/>
                <w:numId w:val="17"/>
              </w:numPr>
              <w:rPr>
                <w:rFonts w:cs="Arial"/>
                <w:sz w:val="20"/>
                <w:szCs w:val="20"/>
              </w:rPr>
            </w:pPr>
            <w:r w:rsidRPr="00B218F0">
              <w:rPr>
                <w:rFonts w:cs="Arial"/>
                <w:sz w:val="20"/>
                <w:szCs w:val="20"/>
              </w:rPr>
              <w:t>In absence of pre-operation licencing/registration, FSS requirement provides confidence that business has appropriate knowledge and oversight</w:t>
            </w:r>
            <w:r>
              <w:rPr>
                <w:rFonts w:cs="Arial"/>
                <w:sz w:val="20"/>
                <w:szCs w:val="20"/>
              </w:rPr>
              <w:t>.</w:t>
            </w:r>
          </w:p>
          <w:p w14:paraId="49D94841" w14:textId="77777777" w:rsidR="008962CE" w:rsidRPr="002879CB" w:rsidRDefault="008962CE" w:rsidP="00614AF5">
            <w:pPr>
              <w:pStyle w:val="ListParagraph"/>
              <w:numPr>
                <w:ilvl w:val="0"/>
                <w:numId w:val="17"/>
              </w:numPr>
              <w:rPr>
                <w:rFonts w:cs="Arial"/>
                <w:sz w:val="20"/>
                <w:szCs w:val="20"/>
              </w:rPr>
            </w:pPr>
            <w:r w:rsidRPr="002879CB">
              <w:rPr>
                <w:rFonts w:cs="Arial"/>
                <w:sz w:val="20"/>
                <w:szCs w:val="20"/>
              </w:rPr>
              <w:t>Lack of training is a significant cost to the community from food poisoning incidents as well as EHO resources retrospectively trying to educate food handlers following breaches.</w:t>
            </w:r>
          </w:p>
        </w:tc>
        <w:tc>
          <w:tcPr>
            <w:tcW w:w="1463" w:type="dxa"/>
          </w:tcPr>
          <w:p w14:paraId="2FB5BD95" w14:textId="77777777" w:rsidR="008962CE" w:rsidRPr="00CF23F2" w:rsidRDefault="008962CE" w:rsidP="003A458A">
            <w:pPr>
              <w:rPr>
                <w:rFonts w:cs="Arial"/>
                <w:sz w:val="20"/>
                <w:szCs w:val="20"/>
              </w:rPr>
            </w:pPr>
            <w:r w:rsidRPr="00CF23F2">
              <w:rPr>
                <w:rFonts w:cs="Arial"/>
                <w:sz w:val="20"/>
                <w:szCs w:val="20"/>
              </w:rPr>
              <w:t>state/territory government</w:t>
            </w:r>
            <w:r>
              <w:rPr>
                <w:rFonts w:cs="Arial"/>
                <w:sz w:val="20"/>
                <w:szCs w:val="20"/>
              </w:rPr>
              <w:t>,</w:t>
            </w:r>
            <w:r w:rsidRPr="00CF23F2" w:rsidDel="00AA2454">
              <w:rPr>
                <w:rFonts w:cs="Arial"/>
                <w:sz w:val="20"/>
                <w:szCs w:val="20"/>
              </w:rPr>
              <w:t xml:space="preserve"> </w:t>
            </w:r>
            <w:r w:rsidRPr="00CF23F2">
              <w:rPr>
                <w:rFonts w:cs="Arial"/>
                <w:sz w:val="20"/>
                <w:szCs w:val="20"/>
              </w:rPr>
              <w:t>local council, service provider</w:t>
            </w:r>
          </w:p>
        </w:tc>
        <w:tc>
          <w:tcPr>
            <w:tcW w:w="6799" w:type="dxa"/>
          </w:tcPr>
          <w:p w14:paraId="6A36BA0B" w14:textId="77777777" w:rsidR="008962CE" w:rsidRDefault="008962CE" w:rsidP="003A458A">
            <w:pPr>
              <w:rPr>
                <w:rFonts w:cs="Arial"/>
                <w:sz w:val="20"/>
                <w:szCs w:val="20"/>
              </w:rPr>
            </w:pPr>
            <w:r>
              <w:rPr>
                <w:rFonts w:cs="Arial"/>
                <w:sz w:val="20"/>
                <w:szCs w:val="20"/>
              </w:rPr>
              <w:t>Noted</w:t>
            </w:r>
          </w:p>
        </w:tc>
      </w:tr>
      <w:tr w:rsidR="008962CE" w:rsidRPr="00CF23F2" w14:paraId="5365CAD8" w14:textId="77777777" w:rsidTr="00FD5F2E">
        <w:tc>
          <w:tcPr>
            <w:tcW w:w="6475" w:type="dxa"/>
          </w:tcPr>
          <w:p w14:paraId="2C74C3CC" w14:textId="77777777" w:rsidR="008962CE" w:rsidRDefault="008962CE" w:rsidP="003A458A">
            <w:pPr>
              <w:rPr>
                <w:rFonts w:cs="Arial"/>
                <w:b/>
                <w:bCs/>
                <w:sz w:val="20"/>
                <w:szCs w:val="20"/>
              </w:rPr>
            </w:pPr>
            <w:r w:rsidRPr="724B7FB2">
              <w:rPr>
                <w:rFonts w:cs="Arial"/>
                <w:b/>
                <w:bCs/>
                <w:sz w:val="20"/>
                <w:szCs w:val="20"/>
              </w:rPr>
              <w:t>Support for FHT to be mandated in the Code</w:t>
            </w:r>
            <w:r w:rsidRPr="724B7FB2">
              <w:rPr>
                <w:rFonts w:cs="Arial"/>
                <w:sz w:val="20"/>
                <w:szCs w:val="20"/>
              </w:rPr>
              <w:t xml:space="preserve"> </w:t>
            </w:r>
          </w:p>
          <w:p w14:paraId="1688402E" w14:textId="77777777" w:rsidR="008962CE" w:rsidRDefault="008962CE" w:rsidP="003A458A">
            <w:pPr>
              <w:rPr>
                <w:rFonts w:cs="Arial"/>
                <w:b/>
                <w:bCs/>
                <w:sz w:val="20"/>
                <w:szCs w:val="20"/>
              </w:rPr>
            </w:pPr>
            <w:r w:rsidRPr="724B7FB2">
              <w:rPr>
                <w:rFonts w:cs="Arial"/>
                <w:sz w:val="20"/>
                <w:szCs w:val="20"/>
              </w:rPr>
              <w:t>It will assist in education and training beyond skills learnt on the job; noted that free training is available online.</w:t>
            </w:r>
          </w:p>
        </w:tc>
        <w:tc>
          <w:tcPr>
            <w:tcW w:w="1463" w:type="dxa"/>
          </w:tcPr>
          <w:p w14:paraId="0412DABD" w14:textId="7E95BEFF" w:rsidR="008962CE" w:rsidRDefault="008962CE" w:rsidP="003A458A">
            <w:pPr>
              <w:rPr>
                <w:rFonts w:cs="Arial"/>
                <w:sz w:val="20"/>
                <w:szCs w:val="20"/>
              </w:rPr>
            </w:pPr>
            <w:r>
              <w:rPr>
                <w:rFonts w:cs="Arial"/>
                <w:sz w:val="20"/>
                <w:szCs w:val="20"/>
              </w:rPr>
              <w:t xml:space="preserve">state/territory government, </w:t>
            </w:r>
            <w:r w:rsidR="006B11F0">
              <w:rPr>
                <w:rFonts w:cs="Arial"/>
                <w:sz w:val="20"/>
                <w:szCs w:val="20"/>
              </w:rPr>
              <w:t>local council</w:t>
            </w:r>
            <w:r w:rsidRPr="00CF23F2">
              <w:rPr>
                <w:rFonts w:cs="Arial"/>
                <w:sz w:val="20"/>
                <w:szCs w:val="20"/>
              </w:rPr>
              <w:t>, advocacy group, service provider</w:t>
            </w:r>
          </w:p>
        </w:tc>
        <w:tc>
          <w:tcPr>
            <w:tcW w:w="6799" w:type="dxa"/>
          </w:tcPr>
          <w:p w14:paraId="625E36B6" w14:textId="77777777" w:rsidR="008962CE" w:rsidRDefault="008962CE" w:rsidP="003A458A">
            <w:pPr>
              <w:rPr>
                <w:rFonts w:cs="Arial"/>
                <w:sz w:val="20"/>
                <w:szCs w:val="20"/>
              </w:rPr>
            </w:pPr>
            <w:r>
              <w:rPr>
                <w:rFonts w:cs="Arial"/>
                <w:sz w:val="20"/>
                <w:szCs w:val="20"/>
              </w:rPr>
              <w:t>Noted.</w:t>
            </w:r>
          </w:p>
        </w:tc>
      </w:tr>
      <w:tr w:rsidR="008962CE" w:rsidRPr="00CF23F2" w14:paraId="36FF0EC4" w14:textId="77777777" w:rsidTr="00FD5F2E">
        <w:tc>
          <w:tcPr>
            <w:tcW w:w="6475" w:type="dxa"/>
          </w:tcPr>
          <w:p w14:paraId="03239B70" w14:textId="77777777" w:rsidR="008962CE" w:rsidRDefault="008962CE" w:rsidP="003A458A">
            <w:pPr>
              <w:rPr>
                <w:rFonts w:cs="Arial"/>
                <w:sz w:val="20"/>
                <w:szCs w:val="20"/>
              </w:rPr>
            </w:pPr>
            <w:r w:rsidRPr="00DC36FA">
              <w:rPr>
                <w:rFonts w:cs="Arial"/>
                <w:b/>
                <w:sz w:val="20"/>
                <w:szCs w:val="20"/>
              </w:rPr>
              <w:t>Support for E</w:t>
            </w:r>
            <w:r>
              <w:rPr>
                <w:rFonts w:cs="Arial"/>
                <w:b/>
                <w:sz w:val="20"/>
                <w:szCs w:val="20"/>
              </w:rPr>
              <w:t xml:space="preserve"> requirement</w:t>
            </w:r>
            <w:r>
              <w:rPr>
                <w:rFonts w:cs="Arial"/>
                <w:sz w:val="20"/>
                <w:szCs w:val="20"/>
              </w:rPr>
              <w:t xml:space="preserve">: </w:t>
            </w:r>
          </w:p>
          <w:p w14:paraId="080EB86F" w14:textId="77777777" w:rsidR="008962CE" w:rsidRDefault="008962CE" w:rsidP="00614AF5">
            <w:pPr>
              <w:pStyle w:val="ListParagraph"/>
              <w:numPr>
                <w:ilvl w:val="0"/>
                <w:numId w:val="28"/>
              </w:numPr>
              <w:rPr>
                <w:rFonts w:cs="Arial"/>
                <w:sz w:val="20"/>
                <w:szCs w:val="20"/>
              </w:rPr>
            </w:pPr>
            <w:r>
              <w:rPr>
                <w:rFonts w:cs="Arial"/>
                <w:sz w:val="20"/>
                <w:szCs w:val="20"/>
              </w:rPr>
              <w:t>P</w:t>
            </w:r>
            <w:r w:rsidRPr="00DC36FA">
              <w:rPr>
                <w:rFonts w:cs="Arial"/>
                <w:sz w:val="20"/>
                <w:szCs w:val="20"/>
              </w:rPr>
              <w:t>ositive outcomes have been demonstrated in other jurisdictions with E requirements</w:t>
            </w:r>
            <w:r>
              <w:rPr>
                <w:rFonts w:cs="Arial"/>
                <w:sz w:val="20"/>
                <w:szCs w:val="20"/>
              </w:rPr>
              <w:t xml:space="preserve">; </w:t>
            </w:r>
            <w:r w:rsidRPr="00DC36FA">
              <w:rPr>
                <w:rFonts w:cs="Arial"/>
                <w:sz w:val="20"/>
                <w:szCs w:val="20"/>
              </w:rPr>
              <w:t>repeated non</w:t>
            </w:r>
            <w:r w:rsidRPr="00DC36FA">
              <w:rPr>
                <w:rFonts w:ascii="Cambria Math" w:hAnsi="Cambria Math" w:cs="Cambria Math"/>
                <w:sz w:val="20"/>
                <w:szCs w:val="20"/>
              </w:rPr>
              <w:t>‐</w:t>
            </w:r>
            <w:r w:rsidRPr="00DC36FA">
              <w:rPr>
                <w:rFonts w:cs="Arial"/>
                <w:sz w:val="20"/>
                <w:szCs w:val="20"/>
              </w:rPr>
              <w:t>compliance is commonly identified with cooling and sanitising</w:t>
            </w:r>
            <w:r>
              <w:rPr>
                <w:rFonts w:cs="Arial"/>
                <w:sz w:val="20"/>
                <w:szCs w:val="20"/>
              </w:rPr>
              <w:t>; v</w:t>
            </w:r>
            <w:r w:rsidRPr="00DC36FA">
              <w:rPr>
                <w:rFonts w:cs="Arial"/>
                <w:sz w:val="20"/>
                <w:szCs w:val="20"/>
              </w:rPr>
              <w:t xml:space="preserve">oluntary use of a record has been useful to help improve ineffective temperature control practices. </w:t>
            </w:r>
          </w:p>
          <w:p w14:paraId="37C63C44" w14:textId="77777777" w:rsidR="008962CE" w:rsidRDefault="008962CE" w:rsidP="00614AF5">
            <w:pPr>
              <w:pStyle w:val="ListParagraph"/>
              <w:numPr>
                <w:ilvl w:val="0"/>
                <w:numId w:val="28"/>
              </w:numPr>
              <w:rPr>
                <w:rFonts w:cs="Arial"/>
                <w:sz w:val="20"/>
                <w:szCs w:val="20"/>
              </w:rPr>
            </w:pPr>
            <w:r w:rsidRPr="00DC36FA">
              <w:rPr>
                <w:rFonts w:cs="Arial"/>
                <w:sz w:val="20"/>
                <w:szCs w:val="20"/>
              </w:rPr>
              <w:t xml:space="preserve">Records will provide EHOs with more confidence in the food’s safety and a greater understanding of all the handling steps before it is served to the customer. </w:t>
            </w:r>
          </w:p>
          <w:p w14:paraId="4B02C12E" w14:textId="77777777" w:rsidR="008962CE" w:rsidRDefault="008962CE" w:rsidP="00614AF5">
            <w:pPr>
              <w:pStyle w:val="ListParagraph"/>
              <w:numPr>
                <w:ilvl w:val="0"/>
                <w:numId w:val="28"/>
              </w:numPr>
              <w:rPr>
                <w:rFonts w:cs="Arial"/>
                <w:sz w:val="20"/>
                <w:szCs w:val="20"/>
              </w:rPr>
            </w:pPr>
            <w:r w:rsidRPr="724B7FB2">
              <w:rPr>
                <w:rFonts w:cs="Arial"/>
                <w:sz w:val="20"/>
                <w:szCs w:val="20"/>
              </w:rPr>
              <w:t>three tools together would in general provide the greatest opportunity to improve food safety.</w:t>
            </w:r>
          </w:p>
          <w:p w14:paraId="43B9CD04" w14:textId="77777777" w:rsidR="008962CE" w:rsidRDefault="008962CE" w:rsidP="00614AF5">
            <w:pPr>
              <w:pStyle w:val="ListParagraph"/>
              <w:numPr>
                <w:ilvl w:val="0"/>
                <w:numId w:val="28"/>
              </w:numPr>
              <w:rPr>
                <w:rFonts w:cs="Arial"/>
                <w:b/>
                <w:bCs/>
                <w:sz w:val="20"/>
                <w:szCs w:val="20"/>
              </w:rPr>
            </w:pPr>
            <w:r w:rsidRPr="724B7FB2">
              <w:rPr>
                <w:rFonts w:cs="Arial"/>
                <w:sz w:val="20"/>
                <w:szCs w:val="20"/>
              </w:rPr>
              <w:t>allows skill to be demonstrated.</w:t>
            </w:r>
          </w:p>
          <w:p w14:paraId="49FADAFC" w14:textId="77777777" w:rsidR="008962CE" w:rsidRPr="00B12B61" w:rsidRDefault="008962CE" w:rsidP="00614AF5">
            <w:pPr>
              <w:pStyle w:val="ListParagraph"/>
              <w:numPr>
                <w:ilvl w:val="0"/>
                <w:numId w:val="28"/>
              </w:numPr>
              <w:rPr>
                <w:rFonts w:cs="Arial"/>
                <w:b/>
                <w:bCs/>
                <w:sz w:val="20"/>
                <w:szCs w:val="20"/>
              </w:rPr>
            </w:pPr>
            <w:r w:rsidRPr="724B7FB2">
              <w:rPr>
                <w:rFonts w:cs="Arial"/>
                <w:sz w:val="20"/>
                <w:szCs w:val="20"/>
              </w:rPr>
              <w:t>will increase business’s ability to take responsibility, monitor risks and detect issues early; also offer due diligence defence. Also enables easier assessment by EHOs.</w:t>
            </w:r>
          </w:p>
          <w:p w14:paraId="37AFC8CB" w14:textId="09CE0B59" w:rsidR="00B66010" w:rsidRPr="003E676F" w:rsidRDefault="008962CE" w:rsidP="00614AF5">
            <w:pPr>
              <w:pStyle w:val="ListParagraph"/>
              <w:numPr>
                <w:ilvl w:val="0"/>
                <w:numId w:val="28"/>
              </w:numPr>
              <w:rPr>
                <w:rFonts w:cs="Arial"/>
                <w:bCs/>
                <w:sz w:val="20"/>
                <w:szCs w:val="20"/>
              </w:rPr>
            </w:pPr>
            <w:r w:rsidRPr="00B12B61">
              <w:rPr>
                <w:rFonts w:cs="Arial"/>
                <w:bCs/>
                <w:sz w:val="20"/>
                <w:szCs w:val="20"/>
              </w:rPr>
              <w:lastRenderedPageBreak/>
              <w:t>Requirement strikes a good balance between managing high-risk activities and record keeping at a manageable level; does not require more onerous food safety program</w:t>
            </w:r>
          </w:p>
        </w:tc>
        <w:tc>
          <w:tcPr>
            <w:tcW w:w="1463" w:type="dxa"/>
          </w:tcPr>
          <w:p w14:paraId="6DB6E604" w14:textId="77777777" w:rsidR="008962CE" w:rsidRDefault="008962CE" w:rsidP="003A458A">
            <w:pPr>
              <w:rPr>
                <w:rFonts w:cs="Arial"/>
                <w:sz w:val="20"/>
                <w:szCs w:val="20"/>
              </w:rPr>
            </w:pPr>
            <w:r w:rsidRPr="00CF23F2">
              <w:rPr>
                <w:rFonts w:cs="Arial"/>
                <w:sz w:val="20"/>
                <w:szCs w:val="20"/>
              </w:rPr>
              <w:lastRenderedPageBreak/>
              <w:t>local council</w:t>
            </w:r>
          </w:p>
        </w:tc>
        <w:tc>
          <w:tcPr>
            <w:tcW w:w="6799" w:type="dxa"/>
          </w:tcPr>
          <w:p w14:paraId="1CA3123A" w14:textId="77777777" w:rsidR="008962CE" w:rsidRDefault="008962CE" w:rsidP="003A458A">
            <w:pPr>
              <w:rPr>
                <w:rFonts w:cs="Arial"/>
                <w:sz w:val="20"/>
                <w:szCs w:val="20"/>
              </w:rPr>
            </w:pPr>
            <w:r>
              <w:rPr>
                <w:rFonts w:cs="Arial"/>
                <w:sz w:val="20"/>
                <w:szCs w:val="20"/>
              </w:rPr>
              <w:t>Noted.</w:t>
            </w:r>
          </w:p>
        </w:tc>
      </w:tr>
      <w:tr w:rsidR="008962CE" w:rsidRPr="001B0D24" w14:paraId="721C0388" w14:textId="77777777" w:rsidTr="00FD5F2E">
        <w:tc>
          <w:tcPr>
            <w:tcW w:w="7938" w:type="dxa"/>
            <w:gridSpan w:val="2"/>
            <w:shd w:val="clear" w:color="auto" w:fill="EEECE1" w:themeFill="background2"/>
          </w:tcPr>
          <w:p w14:paraId="71E64AEB" w14:textId="77777777" w:rsidR="008962CE" w:rsidRDefault="008962CE" w:rsidP="003A458A">
            <w:pPr>
              <w:rPr>
                <w:rFonts w:cs="Arial"/>
                <w:b/>
                <w:sz w:val="20"/>
                <w:szCs w:val="20"/>
              </w:rPr>
            </w:pPr>
            <w:r w:rsidRPr="001B0D24">
              <w:rPr>
                <w:rFonts w:cs="Arial"/>
                <w:b/>
                <w:sz w:val="20"/>
                <w:szCs w:val="20"/>
              </w:rPr>
              <w:t>Against preferred approach</w:t>
            </w:r>
          </w:p>
          <w:p w14:paraId="2AD511C8" w14:textId="77777777" w:rsidR="008962CE" w:rsidRPr="001B0D24" w:rsidRDefault="008962CE" w:rsidP="003A458A">
            <w:pPr>
              <w:rPr>
                <w:rFonts w:cs="Arial"/>
                <w:b/>
                <w:sz w:val="20"/>
                <w:szCs w:val="20"/>
              </w:rPr>
            </w:pPr>
          </w:p>
        </w:tc>
        <w:tc>
          <w:tcPr>
            <w:tcW w:w="6799" w:type="dxa"/>
            <w:shd w:val="clear" w:color="auto" w:fill="EEECE1" w:themeFill="background2"/>
          </w:tcPr>
          <w:p w14:paraId="4B17FB99" w14:textId="77777777" w:rsidR="008962CE" w:rsidRPr="001B0D24" w:rsidRDefault="008962CE" w:rsidP="003A458A">
            <w:pPr>
              <w:rPr>
                <w:rFonts w:cs="Arial"/>
                <w:b/>
                <w:sz w:val="20"/>
                <w:szCs w:val="20"/>
              </w:rPr>
            </w:pPr>
          </w:p>
        </w:tc>
      </w:tr>
      <w:tr w:rsidR="008962CE" w:rsidRPr="00CF23F2" w14:paraId="48B20B31" w14:textId="77777777" w:rsidTr="00FD5F2E">
        <w:tc>
          <w:tcPr>
            <w:tcW w:w="6475" w:type="dxa"/>
          </w:tcPr>
          <w:p w14:paraId="37C06846" w14:textId="77777777" w:rsidR="008962CE" w:rsidRDefault="008962CE" w:rsidP="003A458A">
            <w:pPr>
              <w:rPr>
                <w:rFonts w:cs="Arial"/>
                <w:sz w:val="20"/>
                <w:szCs w:val="20"/>
              </w:rPr>
            </w:pPr>
            <w:r>
              <w:rPr>
                <w:rFonts w:cs="Arial"/>
                <w:sz w:val="20"/>
                <w:szCs w:val="20"/>
              </w:rPr>
              <w:t>N</w:t>
            </w:r>
            <w:r w:rsidRPr="00CF23F2">
              <w:rPr>
                <w:rFonts w:cs="Arial"/>
                <w:sz w:val="20"/>
                <w:szCs w:val="20"/>
              </w:rPr>
              <w:t>ot support</w:t>
            </w:r>
            <w:r>
              <w:rPr>
                <w:rFonts w:cs="Arial"/>
                <w:sz w:val="20"/>
                <w:szCs w:val="20"/>
              </w:rPr>
              <w:t>ive of</w:t>
            </w:r>
            <w:r w:rsidRPr="00CF23F2">
              <w:rPr>
                <w:rFonts w:cs="Arial"/>
                <w:sz w:val="20"/>
                <w:szCs w:val="20"/>
              </w:rPr>
              <w:t xml:space="preserve"> FSANZ’s preferred option unless requirements include allergen management and training</w:t>
            </w:r>
            <w:r>
              <w:rPr>
                <w:rFonts w:cs="Arial"/>
                <w:sz w:val="20"/>
                <w:szCs w:val="20"/>
              </w:rPr>
              <w:t>.</w:t>
            </w:r>
            <w:r w:rsidRPr="00CF23F2">
              <w:rPr>
                <w:rFonts w:cs="Arial"/>
                <w:sz w:val="20"/>
                <w:szCs w:val="20"/>
              </w:rPr>
              <w:t xml:space="preserve"> </w:t>
            </w:r>
          </w:p>
          <w:p w14:paraId="6B6D269C" w14:textId="77777777" w:rsidR="008962CE" w:rsidRDefault="008962CE" w:rsidP="003A458A">
            <w:pPr>
              <w:rPr>
                <w:rFonts w:cs="Arial"/>
                <w:sz w:val="20"/>
                <w:szCs w:val="20"/>
              </w:rPr>
            </w:pPr>
          </w:p>
          <w:p w14:paraId="556F1F10" w14:textId="77777777" w:rsidR="008962CE" w:rsidRPr="00CF23F2" w:rsidRDefault="008962CE" w:rsidP="003A458A">
            <w:pPr>
              <w:rPr>
                <w:rFonts w:cs="Arial"/>
                <w:sz w:val="20"/>
                <w:szCs w:val="20"/>
              </w:rPr>
            </w:pPr>
            <w:r w:rsidRPr="001E47B3">
              <w:rPr>
                <w:rFonts w:cs="Arial"/>
                <w:sz w:val="20"/>
                <w:szCs w:val="20"/>
              </w:rPr>
              <w:t>Businesses in all 3 categories should have documented food allergen management SOPs.</w:t>
            </w:r>
            <w:r w:rsidRPr="001E47B3">
              <w:rPr>
                <w:rFonts w:cs="Arial"/>
                <w:sz w:val="20"/>
                <w:szCs w:val="20"/>
              </w:rPr>
              <w:tab/>
            </w:r>
          </w:p>
        </w:tc>
        <w:tc>
          <w:tcPr>
            <w:tcW w:w="1463" w:type="dxa"/>
          </w:tcPr>
          <w:p w14:paraId="23079456" w14:textId="77777777" w:rsidR="008962CE" w:rsidRPr="00CF23F2" w:rsidRDefault="008962CE" w:rsidP="003A458A">
            <w:pPr>
              <w:rPr>
                <w:rFonts w:cs="Arial"/>
                <w:sz w:val="20"/>
                <w:szCs w:val="20"/>
              </w:rPr>
            </w:pPr>
            <w:r w:rsidRPr="00CF23F2">
              <w:rPr>
                <w:rFonts w:cs="Arial"/>
                <w:sz w:val="20"/>
                <w:szCs w:val="20"/>
              </w:rPr>
              <w:t>advocacy group</w:t>
            </w:r>
          </w:p>
        </w:tc>
        <w:tc>
          <w:tcPr>
            <w:tcW w:w="6799" w:type="dxa"/>
          </w:tcPr>
          <w:p w14:paraId="2E360E35" w14:textId="00D5E3A6" w:rsidR="009302BC" w:rsidRDefault="008962CE" w:rsidP="003A458A">
            <w:pPr>
              <w:rPr>
                <w:rFonts w:cs="Arial"/>
                <w:sz w:val="20"/>
                <w:szCs w:val="20"/>
              </w:rPr>
            </w:pPr>
            <w:r w:rsidRPr="58A14E8B">
              <w:rPr>
                <w:rFonts w:cs="Arial"/>
                <w:sz w:val="20"/>
                <w:szCs w:val="20"/>
              </w:rPr>
              <w:t xml:space="preserve">The scope of the proposal is to </w:t>
            </w:r>
            <w:r w:rsidR="000E4263">
              <w:rPr>
                <w:rFonts w:cs="Arial"/>
                <w:sz w:val="20"/>
                <w:szCs w:val="20"/>
              </w:rPr>
              <w:t xml:space="preserve">assess </w:t>
            </w:r>
            <w:r w:rsidRPr="58A14E8B">
              <w:rPr>
                <w:rFonts w:cs="Arial"/>
                <w:sz w:val="20"/>
                <w:szCs w:val="20"/>
              </w:rPr>
              <w:t xml:space="preserve">three </w:t>
            </w:r>
            <w:r w:rsidR="000E4263">
              <w:rPr>
                <w:rFonts w:cs="Arial"/>
                <w:sz w:val="20"/>
                <w:szCs w:val="20"/>
              </w:rPr>
              <w:t xml:space="preserve">specific </w:t>
            </w:r>
            <w:r w:rsidRPr="58A14E8B">
              <w:rPr>
                <w:rFonts w:cs="Arial"/>
                <w:sz w:val="20"/>
                <w:szCs w:val="20"/>
              </w:rPr>
              <w:t xml:space="preserve">food safety management tools as regulatory measures to reduce foodborne illness in the food service and retail sectors. </w:t>
            </w:r>
            <w:r w:rsidR="007B29FF" w:rsidRPr="007B29FF">
              <w:rPr>
                <w:rFonts w:cs="Arial"/>
                <w:sz w:val="20"/>
                <w:szCs w:val="20"/>
              </w:rPr>
              <w:t>One of the regulatory measures included in the draft Standard is a Food Safety Supervisor (FSS). Updated national units of competency for FSS (commence</w:t>
            </w:r>
            <w:r w:rsidR="007B29FF">
              <w:rPr>
                <w:rFonts w:cs="Arial"/>
                <w:sz w:val="20"/>
                <w:szCs w:val="20"/>
              </w:rPr>
              <w:t>d in</w:t>
            </w:r>
            <w:r w:rsidR="007B29FF" w:rsidRPr="007B29FF">
              <w:rPr>
                <w:rFonts w:cs="Arial"/>
                <w:sz w:val="20"/>
                <w:szCs w:val="20"/>
              </w:rPr>
              <w:t xml:space="preserve"> June 202</w:t>
            </w:r>
            <w:r w:rsidR="007B29FF">
              <w:rPr>
                <w:rFonts w:cs="Arial"/>
                <w:sz w:val="20"/>
                <w:szCs w:val="20"/>
              </w:rPr>
              <w:t>2</w:t>
            </w:r>
            <w:r w:rsidR="007B29FF" w:rsidRPr="007B29FF">
              <w:rPr>
                <w:rFonts w:cs="Arial"/>
                <w:sz w:val="20"/>
                <w:szCs w:val="20"/>
              </w:rPr>
              <w:t>) include an allergen management component</w:t>
            </w:r>
            <w:r w:rsidR="007B29FF">
              <w:rPr>
                <w:rFonts w:cs="Arial"/>
                <w:sz w:val="20"/>
                <w:szCs w:val="20"/>
              </w:rPr>
              <w:t xml:space="preserve">. </w:t>
            </w:r>
            <w:r w:rsidRPr="58A14E8B">
              <w:rPr>
                <w:rFonts w:cs="Arial"/>
                <w:sz w:val="20"/>
                <w:szCs w:val="20"/>
              </w:rPr>
              <w:t xml:space="preserve">The role of a FSS is to impart relevant skills and knowledge to other staff and strengthen food safety culture. </w:t>
            </w:r>
          </w:p>
          <w:p w14:paraId="27B7630C" w14:textId="77777777" w:rsidR="009302BC" w:rsidRDefault="009302BC" w:rsidP="003A458A">
            <w:pPr>
              <w:rPr>
                <w:rFonts w:cs="Arial"/>
                <w:sz w:val="20"/>
                <w:szCs w:val="20"/>
              </w:rPr>
            </w:pPr>
          </w:p>
          <w:p w14:paraId="2F243901" w14:textId="6B709673" w:rsidR="009302BC" w:rsidRDefault="008962CE" w:rsidP="003A458A">
            <w:pPr>
              <w:rPr>
                <w:rFonts w:cs="Arial"/>
                <w:sz w:val="20"/>
                <w:szCs w:val="20"/>
              </w:rPr>
            </w:pPr>
            <w:r w:rsidRPr="58A14E8B">
              <w:rPr>
                <w:rFonts w:cs="Arial"/>
                <w:sz w:val="20"/>
                <w:szCs w:val="20"/>
              </w:rPr>
              <w:t xml:space="preserve">Food safety training for all food handlers, covering food allergens, is also offered by some enforcement agencies and vocational training providers. </w:t>
            </w:r>
          </w:p>
          <w:p w14:paraId="5948A560" w14:textId="441B3928" w:rsidR="009302BC" w:rsidRDefault="009302BC" w:rsidP="003A458A">
            <w:pPr>
              <w:rPr>
                <w:rFonts w:cs="Arial"/>
                <w:sz w:val="20"/>
                <w:szCs w:val="20"/>
              </w:rPr>
            </w:pPr>
          </w:p>
          <w:p w14:paraId="636C91F0" w14:textId="6524F900" w:rsidR="009302BC" w:rsidRDefault="009302BC" w:rsidP="003A458A">
            <w:pPr>
              <w:rPr>
                <w:rFonts w:cs="Arial"/>
                <w:sz w:val="20"/>
                <w:szCs w:val="20"/>
              </w:rPr>
            </w:pPr>
            <w:r>
              <w:rPr>
                <w:rFonts w:cs="Arial"/>
                <w:sz w:val="20"/>
                <w:szCs w:val="20"/>
              </w:rPr>
              <w:t>A FSANZ project to review chapter 3 of the Code is currently underway, including a review of the adequacy of existing regulatory measures for allergen management</w:t>
            </w:r>
            <w:r w:rsidR="00AC6958">
              <w:rPr>
                <w:rFonts w:cs="Arial"/>
                <w:sz w:val="20"/>
                <w:szCs w:val="20"/>
              </w:rPr>
              <w:t xml:space="preserve"> in the food service sectors</w:t>
            </w:r>
            <w:r>
              <w:rPr>
                <w:rFonts w:cs="Arial"/>
                <w:sz w:val="20"/>
                <w:szCs w:val="20"/>
              </w:rPr>
              <w:t>.</w:t>
            </w:r>
          </w:p>
          <w:p w14:paraId="74D273D1" w14:textId="7FB03860" w:rsidR="00337A02" w:rsidRPr="00CF23F2" w:rsidRDefault="00337A02" w:rsidP="009302BC">
            <w:pPr>
              <w:rPr>
                <w:rFonts w:cs="Arial"/>
                <w:sz w:val="20"/>
                <w:szCs w:val="20"/>
              </w:rPr>
            </w:pPr>
          </w:p>
        </w:tc>
      </w:tr>
      <w:tr w:rsidR="008962CE" w:rsidRPr="00CF23F2" w14:paraId="20E6EF36" w14:textId="77777777" w:rsidTr="00FD5F2E">
        <w:tc>
          <w:tcPr>
            <w:tcW w:w="6475" w:type="dxa"/>
          </w:tcPr>
          <w:p w14:paraId="716430C9" w14:textId="77777777" w:rsidR="008962CE" w:rsidRPr="00CF23F2" w:rsidRDefault="008962CE" w:rsidP="003A458A">
            <w:pPr>
              <w:rPr>
                <w:rFonts w:cs="Arial"/>
                <w:sz w:val="20"/>
                <w:szCs w:val="20"/>
              </w:rPr>
            </w:pPr>
            <w:r w:rsidRPr="00CF23F2">
              <w:rPr>
                <w:rFonts w:cs="Arial"/>
                <w:sz w:val="20"/>
                <w:szCs w:val="20"/>
              </w:rPr>
              <w:t>The approach is unsatisfactory for residential aged care – need a separate standard/provision to address this sector’s unique needs</w:t>
            </w:r>
            <w:r>
              <w:rPr>
                <w:rFonts w:cs="Arial"/>
                <w:sz w:val="20"/>
                <w:szCs w:val="20"/>
              </w:rPr>
              <w:t>.</w:t>
            </w:r>
          </w:p>
        </w:tc>
        <w:tc>
          <w:tcPr>
            <w:tcW w:w="1463" w:type="dxa"/>
          </w:tcPr>
          <w:p w14:paraId="2BB094FE" w14:textId="77777777" w:rsidR="008962CE" w:rsidRPr="00CF23F2" w:rsidRDefault="008962CE" w:rsidP="003A458A">
            <w:pPr>
              <w:rPr>
                <w:rFonts w:cs="Arial"/>
                <w:sz w:val="20"/>
                <w:szCs w:val="20"/>
              </w:rPr>
            </w:pPr>
            <w:r w:rsidRPr="00CF23F2">
              <w:rPr>
                <w:rFonts w:cs="Arial"/>
                <w:sz w:val="20"/>
                <w:szCs w:val="20"/>
              </w:rPr>
              <w:t>advocacy group</w:t>
            </w:r>
          </w:p>
        </w:tc>
        <w:tc>
          <w:tcPr>
            <w:tcW w:w="6799" w:type="dxa"/>
          </w:tcPr>
          <w:p w14:paraId="3050A56C" w14:textId="57D08B93" w:rsidR="008962CE" w:rsidRPr="00CF23F2" w:rsidRDefault="00AC6958" w:rsidP="00D3401D">
            <w:pPr>
              <w:rPr>
                <w:rFonts w:cs="Arial"/>
                <w:sz w:val="20"/>
                <w:szCs w:val="20"/>
              </w:rPr>
            </w:pPr>
            <w:r w:rsidRPr="55CA05F7">
              <w:rPr>
                <w:rFonts w:cs="Arial"/>
                <w:sz w:val="20"/>
                <w:szCs w:val="20"/>
              </w:rPr>
              <w:t xml:space="preserve">FSANZ disagrees. </w:t>
            </w:r>
            <w:r w:rsidR="008962CE" w:rsidRPr="55CA05F7">
              <w:rPr>
                <w:rFonts w:cs="Arial"/>
                <w:sz w:val="20"/>
                <w:szCs w:val="20"/>
              </w:rPr>
              <w:t>FSANZ considers these additional tools will enhance food safety practices and support reduced foodborne illness in aged care facilities</w:t>
            </w:r>
            <w:r w:rsidR="00D3401D">
              <w:rPr>
                <w:rFonts w:cs="Arial"/>
                <w:sz w:val="20"/>
                <w:szCs w:val="20"/>
              </w:rPr>
              <w:t xml:space="preserve"> (alongside the requirements of Standard 3.3.1)</w:t>
            </w:r>
            <w:r w:rsidR="008962CE" w:rsidRPr="55CA05F7">
              <w:rPr>
                <w:rFonts w:cs="Arial"/>
                <w:sz w:val="20"/>
                <w:szCs w:val="20"/>
              </w:rPr>
              <w:t>. Implementation of the three tools is the responsibility of the jurisdictions and this submission will be provided to the IWG.</w:t>
            </w:r>
            <w:r w:rsidR="00104EB3">
              <w:rPr>
                <w:rFonts w:cs="Arial"/>
                <w:sz w:val="20"/>
                <w:szCs w:val="20"/>
              </w:rPr>
              <w:t xml:space="preserve"> </w:t>
            </w:r>
          </w:p>
        </w:tc>
      </w:tr>
      <w:tr w:rsidR="008962CE" w:rsidRPr="00CF23F2" w14:paraId="66AF0DB4" w14:textId="77777777" w:rsidTr="00FD5F2E">
        <w:tc>
          <w:tcPr>
            <w:tcW w:w="6475" w:type="dxa"/>
          </w:tcPr>
          <w:p w14:paraId="5673AF53" w14:textId="77777777" w:rsidR="008962CE" w:rsidRPr="00CF23F2" w:rsidRDefault="008962CE" w:rsidP="003A458A">
            <w:pPr>
              <w:rPr>
                <w:rFonts w:cs="Arial"/>
                <w:sz w:val="20"/>
                <w:szCs w:val="20"/>
              </w:rPr>
            </w:pPr>
            <w:r w:rsidRPr="00CF23F2">
              <w:rPr>
                <w:rFonts w:cs="Arial"/>
                <w:sz w:val="20"/>
                <w:szCs w:val="20"/>
              </w:rPr>
              <w:t>The standard is not</w:t>
            </w:r>
            <w:r w:rsidRPr="00CF23F2" w:rsidDel="003E3755">
              <w:rPr>
                <w:rFonts w:cs="Arial"/>
                <w:sz w:val="20"/>
                <w:szCs w:val="20"/>
              </w:rPr>
              <w:t xml:space="preserve"> </w:t>
            </w:r>
            <w:r w:rsidRPr="00CF23F2">
              <w:rPr>
                <w:rFonts w:cs="Arial"/>
                <w:sz w:val="20"/>
                <w:szCs w:val="20"/>
              </w:rPr>
              <w:t>needed – most/all tools are already in place in [specific jurisdiction] – making tools mandatory won’t increase compliance and will be a burden on small businesses</w:t>
            </w:r>
            <w:r>
              <w:rPr>
                <w:rFonts w:cs="Arial"/>
                <w:sz w:val="20"/>
                <w:szCs w:val="20"/>
              </w:rPr>
              <w:t>.</w:t>
            </w:r>
          </w:p>
        </w:tc>
        <w:tc>
          <w:tcPr>
            <w:tcW w:w="1463" w:type="dxa"/>
          </w:tcPr>
          <w:p w14:paraId="2F19F2A6"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117E8893" w14:textId="58469004" w:rsidR="008962CE" w:rsidRDefault="008962CE" w:rsidP="00B37206">
            <w:pPr>
              <w:pStyle w:val="CommentText"/>
              <w:rPr>
                <w:rFonts w:cs="Arial"/>
              </w:rPr>
            </w:pPr>
            <w:r w:rsidRPr="55CA05F7">
              <w:rPr>
                <w:rFonts w:cs="Arial"/>
              </w:rPr>
              <w:t>F</w:t>
            </w:r>
            <w:r w:rsidR="00B37206">
              <w:rPr>
                <w:rFonts w:cs="Arial"/>
              </w:rPr>
              <w:t xml:space="preserve">SANZ disagrees. This </w:t>
            </w:r>
            <w:r w:rsidR="00B37206">
              <w:t xml:space="preserve">claim is not supported by evidence, as summarised in the DRIS. The </w:t>
            </w:r>
            <w:r w:rsidRPr="55CA05F7">
              <w:rPr>
                <w:rFonts w:cs="Arial"/>
              </w:rPr>
              <w:t xml:space="preserve">incidence of foodborne illness attributed to the sector indicates there is scope to enhance food </w:t>
            </w:r>
            <w:r w:rsidR="0042357F" w:rsidRPr="55CA05F7">
              <w:rPr>
                <w:rFonts w:cs="Arial"/>
              </w:rPr>
              <w:t>safety</w:t>
            </w:r>
            <w:r w:rsidRPr="55CA05F7">
              <w:rPr>
                <w:rFonts w:cs="Arial"/>
              </w:rPr>
              <w:t xml:space="preserve"> requirements for these businesses.</w:t>
            </w:r>
          </w:p>
          <w:p w14:paraId="3E4A20B5" w14:textId="77777777" w:rsidR="008962CE" w:rsidRDefault="008962CE" w:rsidP="003A458A">
            <w:pPr>
              <w:rPr>
                <w:rFonts w:cs="Arial"/>
                <w:sz w:val="20"/>
                <w:szCs w:val="20"/>
              </w:rPr>
            </w:pPr>
          </w:p>
          <w:p w14:paraId="3CD58729" w14:textId="77777777" w:rsidR="008962CE" w:rsidRPr="00CF23F2" w:rsidRDefault="008962CE" w:rsidP="003A458A">
            <w:pPr>
              <w:rPr>
                <w:rFonts w:cs="Arial"/>
                <w:sz w:val="20"/>
                <w:szCs w:val="20"/>
              </w:rPr>
            </w:pPr>
            <w:r>
              <w:rPr>
                <w:rFonts w:cs="Arial"/>
                <w:sz w:val="20"/>
                <w:szCs w:val="20"/>
              </w:rPr>
              <w:t xml:space="preserve">FSANZ has proposed requirements in the food standards code that provides nationally consistent measures. Where the tools have already been implemented in jurisdictions, FSANZ has considered, where available, evaluation or feedback on those tools to propose enhanced requirements for the Code. </w:t>
            </w:r>
          </w:p>
        </w:tc>
      </w:tr>
      <w:tr w:rsidR="008962CE" w:rsidRPr="00CF23F2" w14:paraId="76F27BD0" w14:textId="77777777" w:rsidTr="00FD5F2E">
        <w:tc>
          <w:tcPr>
            <w:tcW w:w="6475" w:type="dxa"/>
          </w:tcPr>
          <w:p w14:paraId="64AD9C1D" w14:textId="77777777" w:rsidR="008962CE" w:rsidRPr="00CF23F2" w:rsidRDefault="008962CE" w:rsidP="003A458A">
            <w:pPr>
              <w:rPr>
                <w:rFonts w:cs="Arial"/>
                <w:sz w:val="20"/>
                <w:szCs w:val="20"/>
              </w:rPr>
            </w:pPr>
            <w:r w:rsidRPr="00CF23F2">
              <w:rPr>
                <w:rFonts w:cs="Arial"/>
                <w:sz w:val="20"/>
                <w:szCs w:val="20"/>
              </w:rPr>
              <w:t>Partial support – some requirements should be strengthened/ include more stringent requirements</w:t>
            </w:r>
            <w:r>
              <w:rPr>
                <w:rFonts w:cs="Arial"/>
                <w:sz w:val="20"/>
                <w:szCs w:val="20"/>
              </w:rPr>
              <w:t>.</w:t>
            </w:r>
          </w:p>
        </w:tc>
        <w:tc>
          <w:tcPr>
            <w:tcW w:w="1463" w:type="dxa"/>
          </w:tcPr>
          <w:p w14:paraId="734AE9AF" w14:textId="659F8441" w:rsidR="008962CE" w:rsidRPr="00CF23F2" w:rsidRDefault="00FD5F2E" w:rsidP="003A458A">
            <w:pPr>
              <w:rPr>
                <w:rFonts w:cs="Arial"/>
                <w:sz w:val="20"/>
                <w:szCs w:val="20"/>
              </w:rPr>
            </w:pPr>
            <w:r>
              <w:rPr>
                <w:rFonts w:cs="Arial"/>
                <w:sz w:val="20"/>
                <w:szCs w:val="20"/>
              </w:rPr>
              <w:t>local council</w:t>
            </w:r>
          </w:p>
        </w:tc>
        <w:tc>
          <w:tcPr>
            <w:tcW w:w="6799" w:type="dxa"/>
          </w:tcPr>
          <w:p w14:paraId="1BF3E705" w14:textId="076E02B4" w:rsidR="008962CE" w:rsidRPr="00CF23F2" w:rsidRDefault="006B11F0" w:rsidP="006B11F0">
            <w:pPr>
              <w:rPr>
                <w:rFonts w:cs="Arial"/>
                <w:sz w:val="20"/>
                <w:szCs w:val="20"/>
              </w:rPr>
            </w:pPr>
            <w:r w:rsidRPr="006B11F0">
              <w:rPr>
                <w:rFonts w:cs="Arial"/>
                <w:sz w:val="20"/>
                <w:szCs w:val="20"/>
              </w:rPr>
              <w:t xml:space="preserve">For the reasons stated in this report and its supporting documents, FSANZ remains satisfied that each measure is warranted and strikes the </w:t>
            </w:r>
            <w:r w:rsidRPr="006B11F0">
              <w:rPr>
                <w:rFonts w:cs="Arial"/>
                <w:sz w:val="20"/>
                <w:szCs w:val="20"/>
              </w:rPr>
              <w:lastRenderedPageBreak/>
              <w:t>appropriate balance between</w:t>
            </w:r>
            <w:r>
              <w:rPr>
                <w:rFonts w:cs="Arial"/>
                <w:sz w:val="20"/>
                <w:szCs w:val="20"/>
              </w:rPr>
              <w:t xml:space="preserve"> </w:t>
            </w:r>
            <w:r w:rsidR="008962CE" w:rsidRPr="00CF23F2">
              <w:rPr>
                <w:rFonts w:cs="Arial"/>
                <w:sz w:val="20"/>
                <w:szCs w:val="20"/>
              </w:rPr>
              <w:t>enhancing existing measures and being overly prescriptive</w:t>
            </w:r>
          </w:p>
        </w:tc>
      </w:tr>
      <w:tr w:rsidR="008962CE" w:rsidRPr="00CF23F2" w14:paraId="181405F1" w14:textId="77777777" w:rsidTr="00FD5F2E">
        <w:tc>
          <w:tcPr>
            <w:tcW w:w="6475" w:type="dxa"/>
          </w:tcPr>
          <w:p w14:paraId="4F84C1F7" w14:textId="77777777" w:rsidR="008962CE" w:rsidRDefault="008962CE" w:rsidP="003A458A">
            <w:pPr>
              <w:rPr>
                <w:rFonts w:cs="Arial"/>
                <w:sz w:val="20"/>
                <w:szCs w:val="20"/>
              </w:rPr>
            </w:pPr>
            <w:r w:rsidRPr="00CF23F2">
              <w:rPr>
                <w:rFonts w:cs="Arial"/>
                <w:sz w:val="20"/>
                <w:szCs w:val="20"/>
              </w:rPr>
              <w:lastRenderedPageBreak/>
              <w:t xml:space="preserve">Mandatory FSS </w:t>
            </w:r>
            <w:r>
              <w:rPr>
                <w:rFonts w:cs="Arial"/>
                <w:sz w:val="20"/>
                <w:szCs w:val="20"/>
              </w:rPr>
              <w:t xml:space="preserve">is </w:t>
            </w:r>
            <w:r w:rsidRPr="00CF23F2">
              <w:rPr>
                <w:rFonts w:cs="Arial"/>
                <w:sz w:val="20"/>
                <w:szCs w:val="20"/>
              </w:rPr>
              <w:t>unlikely to increase compliance for non-compliant businesses</w:t>
            </w:r>
            <w:r>
              <w:rPr>
                <w:rFonts w:cs="Arial"/>
                <w:sz w:val="20"/>
                <w:szCs w:val="20"/>
              </w:rPr>
              <w:t xml:space="preserve">. </w:t>
            </w:r>
          </w:p>
          <w:p w14:paraId="3311EDAF" w14:textId="77777777" w:rsidR="008962CE" w:rsidRDefault="008962CE" w:rsidP="003A458A">
            <w:pPr>
              <w:rPr>
                <w:rFonts w:cs="Arial"/>
                <w:sz w:val="20"/>
                <w:szCs w:val="20"/>
              </w:rPr>
            </w:pPr>
          </w:p>
          <w:p w14:paraId="51D81AF4" w14:textId="77777777" w:rsidR="008962CE" w:rsidRPr="00CF23F2" w:rsidRDefault="008962CE" w:rsidP="003A458A">
            <w:pPr>
              <w:rPr>
                <w:rFonts w:cs="Arial"/>
                <w:sz w:val="20"/>
                <w:szCs w:val="20"/>
              </w:rPr>
            </w:pPr>
            <w:r w:rsidRPr="00233402">
              <w:rPr>
                <w:rFonts w:cs="Arial"/>
                <w:sz w:val="20"/>
                <w:szCs w:val="20"/>
              </w:rPr>
              <w:t>Anecdotally, FSS has not made significant improvements to the food safety standards in the industry. A contributing factor may be that relevant training competencies for FSS are not currently mandatory.</w:t>
            </w:r>
          </w:p>
        </w:tc>
        <w:tc>
          <w:tcPr>
            <w:tcW w:w="1463" w:type="dxa"/>
          </w:tcPr>
          <w:p w14:paraId="6A8EEE4F"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08594D94" w14:textId="552723E8" w:rsidR="008962CE" w:rsidRPr="008F1455" w:rsidRDefault="008962CE" w:rsidP="003A458A">
            <w:pPr>
              <w:rPr>
                <w:rFonts w:cs="Arial"/>
                <w:color w:val="0000FF"/>
                <w:sz w:val="20"/>
                <w:szCs w:val="20"/>
                <w:u w:val="single"/>
              </w:rPr>
            </w:pPr>
            <w:r>
              <w:rPr>
                <w:rFonts w:cs="Arial"/>
                <w:sz w:val="20"/>
                <w:szCs w:val="20"/>
              </w:rPr>
              <w:t xml:space="preserve">FSANZ disagrees. </w:t>
            </w:r>
            <w:r w:rsidRPr="00CF23F2">
              <w:rPr>
                <w:rFonts w:cs="Arial"/>
                <w:sz w:val="20"/>
                <w:szCs w:val="20"/>
              </w:rPr>
              <w:t>Evidence from NSW evaluation of FSS</w:t>
            </w:r>
            <w:r w:rsidR="006B11F0">
              <w:rPr>
                <w:rFonts w:cs="Arial"/>
                <w:sz w:val="20"/>
                <w:szCs w:val="20"/>
              </w:rPr>
              <w:t>, as summarised in the DRIS,</w:t>
            </w:r>
            <w:r w:rsidRPr="00CF23F2">
              <w:rPr>
                <w:rFonts w:cs="Arial"/>
                <w:sz w:val="20"/>
                <w:szCs w:val="20"/>
              </w:rPr>
              <w:t xml:space="preserve"> suggests moderate increases in compliance performance over the 12 month evaluation period for those businesses with an FSS, compared to those without</w:t>
            </w:r>
            <w:r>
              <w:rPr>
                <w:rFonts w:cs="Arial"/>
                <w:sz w:val="20"/>
                <w:szCs w:val="20"/>
              </w:rPr>
              <w:t xml:space="preserve">: </w:t>
            </w:r>
            <w:hyperlink r:id="rId72" w:history="1">
              <w:r w:rsidRPr="00CF23F2">
                <w:rPr>
                  <w:rStyle w:val="Hyperlink"/>
                  <w:rFonts w:cs="Arial"/>
                  <w:sz w:val="20"/>
                  <w:szCs w:val="20"/>
                </w:rPr>
                <w:t>fss_evaluation.pdf (nsw.gov.au)</w:t>
              </w:r>
            </w:hyperlink>
            <w:r>
              <w:rPr>
                <w:rStyle w:val="Hyperlink"/>
                <w:rFonts w:cs="Arial"/>
                <w:sz w:val="20"/>
                <w:szCs w:val="20"/>
              </w:rPr>
              <w:t xml:space="preserve">. </w:t>
            </w:r>
            <w:r w:rsidRPr="00CF23F2">
              <w:rPr>
                <w:rFonts w:cs="Arial"/>
                <w:sz w:val="20"/>
                <w:szCs w:val="20"/>
              </w:rPr>
              <w:t xml:space="preserve">Other states have not conducted </w:t>
            </w:r>
            <w:r>
              <w:rPr>
                <w:rFonts w:cs="Arial"/>
                <w:sz w:val="20"/>
                <w:szCs w:val="20"/>
              </w:rPr>
              <w:t xml:space="preserve">formal </w:t>
            </w:r>
            <w:r w:rsidRPr="00CF23F2">
              <w:rPr>
                <w:rFonts w:cs="Arial"/>
                <w:sz w:val="20"/>
                <w:szCs w:val="20"/>
              </w:rPr>
              <w:t>evaluation</w:t>
            </w:r>
            <w:r>
              <w:rPr>
                <w:rFonts w:cs="Arial"/>
                <w:sz w:val="20"/>
                <w:szCs w:val="20"/>
              </w:rPr>
              <w:t xml:space="preserve">s. </w:t>
            </w:r>
          </w:p>
          <w:p w14:paraId="6501EA6D" w14:textId="77777777" w:rsidR="008962CE" w:rsidRDefault="008962CE" w:rsidP="003A458A">
            <w:pPr>
              <w:rPr>
                <w:rFonts w:cs="Arial"/>
                <w:sz w:val="20"/>
                <w:szCs w:val="20"/>
              </w:rPr>
            </w:pPr>
          </w:p>
          <w:p w14:paraId="158B3244" w14:textId="7C481FF3" w:rsidR="008962CE" w:rsidRPr="00CF23F2" w:rsidRDefault="008962CE" w:rsidP="003A458A">
            <w:pPr>
              <w:rPr>
                <w:rFonts w:cs="Arial"/>
                <w:sz w:val="20"/>
                <w:szCs w:val="20"/>
              </w:rPr>
            </w:pPr>
            <w:r w:rsidRPr="58A14E8B">
              <w:rPr>
                <w:rFonts w:cs="Arial"/>
                <w:sz w:val="20"/>
                <w:szCs w:val="20"/>
              </w:rPr>
              <w:t xml:space="preserve">International studies on compliance impacts of food safety training on food service operations, </w:t>
            </w:r>
            <w:r w:rsidR="006B11F0">
              <w:rPr>
                <w:rFonts w:cs="Arial"/>
                <w:sz w:val="20"/>
                <w:szCs w:val="20"/>
              </w:rPr>
              <w:t xml:space="preserve">as evidenced in the DRIS, </w:t>
            </w:r>
            <w:r w:rsidRPr="58A14E8B">
              <w:rPr>
                <w:rFonts w:cs="Arial"/>
                <w:sz w:val="20"/>
                <w:szCs w:val="20"/>
              </w:rPr>
              <w:t>show improved outcomes with FSS or equivalents. Restaurants with trained and certified food managers have significantly fewer critical food safety violations, compared to restaurants without certified managers. These types of training programs appear to have a greater impact on restaurants that are not part of chains or large franchises</w:t>
            </w:r>
            <w:r w:rsidR="00E25DB5">
              <w:rPr>
                <w:rFonts w:cs="Arial"/>
                <w:sz w:val="20"/>
                <w:szCs w:val="20"/>
              </w:rPr>
              <w:t>, which often have their own training program</w:t>
            </w:r>
            <w:r w:rsidRPr="58A14E8B">
              <w:rPr>
                <w:rFonts w:cs="Arial"/>
                <w:sz w:val="20"/>
                <w:szCs w:val="20"/>
              </w:rPr>
              <w:t>.</w:t>
            </w:r>
          </w:p>
        </w:tc>
      </w:tr>
      <w:tr w:rsidR="008962CE" w:rsidRPr="0009415F" w14:paraId="2E0BD9AA" w14:textId="77777777" w:rsidTr="00FD5F2E">
        <w:tc>
          <w:tcPr>
            <w:tcW w:w="7938" w:type="dxa"/>
            <w:gridSpan w:val="2"/>
            <w:shd w:val="clear" w:color="auto" w:fill="EEECE1" w:themeFill="background2"/>
          </w:tcPr>
          <w:p w14:paraId="53349A9C" w14:textId="77777777" w:rsidR="008962CE" w:rsidRDefault="008962CE" w:rsidP="003A458A">
            <w:pPr>
              <w:rPr>
                <w:rFonts w:cs="Arial"/>
                <w:b/>
                <w:sz w:val="20"/>
                <w:szCs w:val="20"/>
              </w:rPr>
            </w:pPr>
            <w:r w:rsidRPr="0009415F">
              <w:rPr>
                <w:rFonts w:cs="Arial"/>
                <w:b/>
                <w:sz w:val="20"/>
                <w:szCs w:val="20"/>
              </w:rPr>
              <w:t>Definitions/categorisation</w:t>
            </w:r>
          </w:p>
          <w:p w14:paraId="241C2505" w14:textId="77777777" w:rsidR="008962CE" w:rsidRPr="0009415F" w:rsidRDefault="008962CE" w:rsidP="003A458A">
            <w:pPr>
              <w:rPr>
                <w:rFonts w:cs="Arial"/>
                <w:b/>
                <w:sz w:val="20"/>
                <w:szCs w:val="20"/>
              </w:rPr>
            </w:pPr>
          </w:p>
        </w:tc>
        <w:tc>
          <w:tcPr>
            <w:tcW w:w="6799" w:type="dxa"/>
            <w:shd w:val="clear" w:color="auto" w:fill="EEECE1" w:themeFill="background2"/>
          </w:tcPr>
          <w:p w14:paraId="66C4FC31" w14:textId="77777777" w:rsidR="008962CE" w:rsidRPr="0009415F" w:rsidRDefault="008962CE" w:rsidP="003A458A">
            <w:pPr>
              <w:rPr>
                <w:rFonts w:cs="Arial"/>
                <w:b/>
                <w:sz w:val="20"/>
                <w:szCs w:val="20"/>
              </w:rPr>
            </w:pPr>
          </w:p>
        </w:tc>
      </w:tr>
      <w:tr w:rsidR="008962CE" w:rsidRPr="00CF23F2" w14:paraId="06B1C1BF" w14:textId="77777777" w:rsidTr="00FD5F2E">
        <w:tc>
          <w:tcPr>
            <w:tcW w:w="6475" w:type="dxa"/>
          </w:tcPr>
          <w:p w14:paraId="17AA1DE3" w14:textId="77777777" w:rsidR="008962CE" w:rsidRPr="00CF23F2" w:rsidRDefault="008962CE" w:rsidP="003A458A">
            <w:pPr>
              <w:rPr>
                <w:rFonts w:cs="Arial"/>
                <w:sz w:val="20"/>
                <w:szCs w:val="20"/>
              </w:rPr>
            </w:pPr>
            <w:r w:rsidRPr="00CF23F2">
              <w:rPr>
                <w:rFonts w:cs="Arial"/>
                <w:sz w:val="20"/>
                <w:szCs w:val="20"/>
              </w:rPr>
              <w:t>Categorisation aligns well with existing food business risk classes</w:t>
            </w:r>
            <w:r>
              <w:rPr>
                <w:rFonts w:cs="Arial"/>
                <w:sz w:val="20"/>
                <w:szCs w:val="20"/>
              </w:rPr>
              <w:t>.</w:t>
            </w:r>
          </w:p>
        </w:tc>
        <w:tc>
          <w:tcPr>
            <w:tcW w:w="1463" w:type="dxa"/>
          </w:tcPr>
          <w:p w14:paraId="744939BF" w14:textId="77777777" w:rsidR="008962CE" w:rsidRPr="00CF23F2" w:rsidRDefault="008962CE" w:rsidP="003A458A">
            <w:pPr>
              <w:rPr>
                <w:rFonts w:cs="Arial"/>
                <w:sz w:val="20"/>
                <w:szCs w:val="20"/>
              </w:rPr>
            </w:pPr>
            <w:r w:rsidRPr="00CF23F2">
              <w:rPr>
                <w:rFonts w:cs="Arial"/>
                <w:sz w:val="20"/>
                <w:szCs w:val="20"/>
              </w:rPr>
              <w:t>local council, service provider</w:t>
            </w:r>
          </w:p>
        </w:tc>
        <w:tc>
          <w:tcPr>
            <w:tcW w:w="6799" w:type="dxa"/>
          </w:tcPr>
          <w:p w14:paraId="38393BA4" w14:textId="77777777" w:rsidR="008962CE" w:rsidRPr="00CF23F2" w:rsidRDefault="008962CE" w:rsidP="003A458A">
            <w:pPr>
              <w:rPr>
                <w:rFonts w:cs="Arial"/>
                <w:sz w:val="20"/>
                <w:szCs w:val="20"/>
              </w:rPr>
            </w:pPr>
            <w:r>
              <w:rPr>
                <w:rFonts w:cs="Arial"/>
                <w:sz w:val="20"/>
                <w:szCs w:val="20"/>
              </w:rPr>
              <w:t>Noted</w:t>
            </w:r>
          </w:p>
        </w:tc>
      </w:tr>
      <w:tr w:rsidR="008962CE" w:rsidRPr="00CF23F2" w14:paraId="785097E8" w14:textId="77777777" w:rsidTr="00FD5F2E">
        <w:tc>
          <w:tcPr>
            <w:tcW w:w="6475" w:type="dxa"/>
          </w:tcPr>
          <w:p w14:paraId="6C627495" w14:textId="77777777" w:rsidR="008962CE" w:rsidRPr="00CF23F2" w:rsidRDefault="008962CE" w:rsidP="003A458A">
            <w:pPr>
              <w:rPr>
                <w:rFonts w:cs="Arial"/>
                <w:sz w:val="20"/>
                <w:szCs w:val="20"/>
              </w:rPr>
            </w:pPr>
            <w:r w:rsidRPr="00CF23F2">
              <w:rPr>
                <w:rFonts w:cs="Arial"/>
                <w:sz w:val="20"/>
                <w:szCs w:val="20"/>
              </w:rPr>
              <w:t>Category 1-3 is confusing – does not align with current/ jurisdiction system, will cost time and money to change computer systems, learn new categories, enforcement policies.</w:t>
            </w:r>
          </w:p>
        </w:tc>
        <w:tc>
          <w:tcPr>
            <w:tcW w:w="1463" w:type="dxa"/>
          </w:tcPr>
          <w:p w14:paraId="181F5AD0"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097752E9" w14:textId="33DAF62E" w:rsidR="00D42B5D" w:rsidRDefault="00D42B5D" w:rsidP="00D42B5D">
            <w:pPr>
              <w:pStyle w:val="CommentText"/>
            </w:pPr>
            <w:r>
              <w:rPr>
                <w:rFonts w:cs="Arial"/>
              </w:rPr>
              <w:t xml:space="preserve">There is currently no nationally consistent risk classification for food businesses. Standard 3.2.2A aims to provide a consistent approach to the categorisation of these businesses and the regulatory tools applied. FSANZ recognises that </w:t>
            </w:r>
            <w:r>
              <w:t xml:space="preserve">implementing Standard 3.2.2A may require change at a local government level, however a national standard will facilitate unified approaches, tools, data and assessment of links to foodborne illness. </w:t>
            </w:r>
          </w:p>
          <w:p w14:paraId="3F278161" w14:textId="77777777" w:rsidR="003E676F" w:rsidRDefault="003E676F" w:rsidP="003A458A">
            <w:pPr>
              <w:rPr>
                <w:sz w:val="20"/>
                <w:szCs w:val="20"/>
              </w:rPr>
            </w:pPr>
          </w:p>
          <w:p w14:paraId="69AEF742" w14:textId="09EE25F3" w:rsidR="008962CE" w:rsidRPr="00CF23F2" w:rsidRDefault="008962CE" w:rsidP="003E676F">
            <w:pPr>
              <w:rPr>
                <w:rFonts w:cs="Arial"/>
                <w:sz w:val="20"/>
                <w:szCs w:val="20"/>
              </w:rPr>
            </w:pPr>
            <w:r w:rsidRPr="00CF23F2">
              <w:rPr>
                <w:rFonts w:cs="Arial"/>
                <w:sz w:val="20"/>
                <w:szCs w:val="20"/>
              </w:rPr>
              <w:t>National tools will be developed to help with determining which category a business will fall into and assist with national consistency of this determination.</w:t>
            </w:r>
            <w:r w:rsidR="003E676F">
              <w:rPr>
                <w:rFonts w:cs="Arial"/>
                <w:sz w:val="20"/>
                <w:szCs w:val="20"/>
              </w:rPr>
              <w:t xml:space="preserve"> </w:t>
            </w:r>
            <w:r w:rsidRPr="00CF23F2">
              <w:rPr>
                <w:rFonts w:cs="Arial"/>
                <w:sz w:val="20"/>
                <w:szCs w:val="20"/>
              </w:rPr>
              <w:t xml:space="preserve">FSANZ </w:t>
            </w:r>
            <w:r>
              <w:rPr>
                <w:rFonts w:cs="Arial"/>
                <w:sz w:val="20"/>
                <w:szCs w:val="20"/>
              </w:rPr>
              <w:t xml:space="preserve">has engaged with </w:t>
            </w:r>
            <w:r w:rsidRPr="00CF23F2">
              <w:rPr>
                <w:rFonts w:cs="Arial"/>
                <w:sz w:val="20"/>
                <w:szCs w:val="20"/>
              </w:rPr>
              <w:t xml:space="preserve">the ISFR implementation WG </w:t>
            </w:r>
            <w:r>
              <w:rPr>
                <w:rFonts w:cs="Arial"/>
                <w:sz w:val="20"/>
                <w:szCs w:val="20"/>
              </w:rPr>
              <w:t xml:space="preserve">on the categorisation of businesses provided in the draft standard and </w:t>
            </w:r>
            <w:r w:rsidRPr="00CF23F2">
              <w:rPr>
                <w:rFonts w:cs="Arial"/>
                <w:sz w:val="20"/>
                <w:szCs w:val="20"/>
              </w:rPr>
              <w:t>map</w:t>
            </w:r>
            <w:r>
              <w:rPr>
                <w:rFonts w:cs="Arial"/>
                <w:sz w:val="20"/>
                <w:szCs w:val="20"/>
              </w:rPr>
              <w:t>ping</w:t>
            </w:r>
            <w:r w:rsidRPr="00CF23F2">
              <w:rPr>
                <w:rFonts w:cs="Arial"/>
                <w:sz w:val="20"/>
                <w:szCs w:val="20"/>
              </w:rPr>
              <w:t xml:space="preserve"> current jurisdictional risk classes</w:t>
            </w:r>
            <w:r>
              <w:rPr>
                <w:rFonts w:cs="Arial"/>
                <w:sz w:val="20"/>
                <w:szCs w:val="20"/>
              </w:rPr>
              <w:t xml:space="preserve">. </w:t>
            </w:r>
          </w:p>
        </w:tc>
      </w:tr>
      <w:tr w:rsidR="008962CE" w:rsidRPr="00CF23F2" w14:paraId="2BB1FC21" w14:textId="77777777" w:rsidTr="00FD5F2E">
        <w:tc>
          <w:tcPr>
            <w:tcW w:w="6475" w:type="dxa"/>
          </w:tcPr>
          <w:p w14:paraId="46E0A5ED" w14:textId="77777777" w:rsidR="008962CE" w:rsidRPr="00CF23F2" w:rsidRDefault="008962CE" w:rsidP="003A458A">
            <w:pPr>
              <w:rPr>
                <w:rFonts w:cs="Arial"/>
                <w:sz w:val="20"/>
                <w:szCs w:val="20"/>
              </w:rPr>
            </w:pPr>
            <w:r w:rsidRPr="00CF23F2">
              <w:rPr>
                <w:rFonts w:cs="Arial"/>
                <w:sz w:val="20"/>
                <w:szCs w:val="20"/>
              </w:rPr>
              <w:t>Categorisation does</w:t>
            </w:r>
            <w:r>
              <w:rPr>
                <w:rFonts w:cs="Arial"/>
                <w:sz w:val="20"/>
                <w:szCs w:val="20"/>
              </w:rPr>
              <w:t xml:space="preserve"> </w:t>
            </w:r>
            <w:r w:rsidRPr="00CF23F2">
              <w:rPr>
                <w:rFonts w:cs="Arial"/>
                <w:sz w:val="20"/>
                <w:szCs w:val="20"/>
              </w:rPr>
              <w:t>n</w:t>
            </w:r>
            <w:r>
              <w:rPr>
                <w:rFonts w:cs="Arial"/>
                <w:sz w:val="20"/>
                <w:szCs w:val="20"/>
              </w:rPr>
              <w:t>o</w:t>
            </w:r>
            <w:r w:rsidRPr="00CF23F2">
              <w:rPr>
                <w:rFonts w:cs="Arial"/>
                <w:sz w:val="20"/>
                <w:szCs w:val="20"/>
              </w:rPr>
              <w:t>t consider risks linked to business size (food volumes) or vulnerable populations</w:t>
            </w:r>
            <w:r>
              <w:rPr>
                <w:rFonts w:cs="Arial"/>
                <w:sz w:val="20"/>
                <w:szCs w:val="20"/>
              </w:rPr>
              <w:t>.</w:t>
            </w:r>
          </w:p>
        </w:tc>
        <w:tc>
          <w:tcPr>
            <w:tcW w:w="1463" w:type="dxa"/>
          </w:tcPr>
          <w:p w14:paraId="334A5EAC"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471EC3B3" w14:textId="77777777" w:rsidR="008962CE" w:rsidRPr="00CF23F2" w:rsidRDefault="008962CE" w:rsidP="003A458A">
            <w:pPr>
              <w:rPr>
                <w:rFonts w:cs="Arial"/>
                <w:sz w:val="20"/>
                <w:szCs w:val="20"/>
              </w:rPr>
            </w:pPr>
            <w:r w:rsidRPr="00CF23F2">
              <w:rPr>
                <w:rFonts w:cs="Arial"/>
                <w:sz w:val="20"/>
                <w:szCs w:val="20"/>
              </w:rPr>
              <w:t xml:space="preserve">The risks of food service to vulnerable populations has already been considered </w:t>
            </w:r>
            <w:r>
              <w:rPr>
                <w:rFonts w:cs="Arial"/>
                <w:sz w:val="20"/>
                <w:szCs w:val="20"/>
              </w:rPr>
              <w:t xml:space="preserve">and specifically addressed </w:t>
            </w:r>
            <w:r w:rsidRPr="00CF23F2">
              <w:rPr>
                <w:rFonts w:cs="Arial"/>
                <w:sz w:val="20"/>
                <w:szCs w:val="20"/>
              </w:rPr>
              <w:t>in the development of St</w:t>
            </w:r>
            <w:r>
              <w:rPr>
                <w:rFonts w:cs="Arial"/>
                <w:sz w:val="20"/>
                <w:szCs w:val="20"/>
              </w:rPr>
              <w:t>andar</w:t>
            </w:r>
            <w:r w:rsidRPr="00CF23F2">
              <w:rPr>
                <w:rFonts w:cs="Arial"/>
                <w:sz w:val="20"/>
                <w:szCs w:val="20"/>
              </w:rPr>
              <w:t>d 3.3.1.</w:t>
            </w:r>
          </w:p>
          <w:p w14:paraId="0246945B" w14:textId="77777777" w:rsidR="008962CE" w:rsidRPr="00CF23F2" w:rsidRDefault="008962CE" w:rsidP="003A458A">
            <w:pPr>
              <w:rPr>
                <w:rFonts w:cs="Arial"/>
                <w:sz w:val="20"/>
                <w:szCs w:val="20"/>
              </w:rPr>
            </w:pPr>
          </w:p>
          <w:p w14:paraId="68B610DE" w14:textId="77777777" w:rsidR="008962CE" w:rsidRPr="00CF23F2" w:rsidRDefault="008962CE" w:rsidP="003A458A">
            <w:pPr>
              <w:rPr>
                <w:rFonts w:cs="Arial"/>
                <w:sz w:val="20"/>
                <w:szCs w:val="20"/>
              </w:rPr>
            </w:pPr>
            <w:r w:rsidRPr="00CF23F2">
              <w:rPr>
                <w:rFonts w:cs="Arial"/>
                <w:sz w:val="20"/>
                <w:szCs w:val="20"/>
              </w:rPr>
              <w:t xml:space="preserve">In the assessment of P1053, </w:t>
            </w:r>
            <w:r>
              <w:rPr>
                <w:rFonts w:cs="Arial"/>
                <w:sz w:val="20"/>
                <w:szCs w:val="20"/>
              </w:rPr>
              <w:t xml:space="preserve">FSANZ did not consider that production size </w:t>
            </w:r>
            <w:r w:rsidRPr="00CF23F2">
              <w:rPr>
                <w:rFonts w:cs="Arial"/>
                <w:sz w:val="20"/>
                <w:szCs w:val="20"/>
              </w:rPr>
              <w:lastRenderedPageBreak/>
              <w:t>change</w:t>
            </w:r>
            <w:r>
              <w:rPr>
                <w:rFonts w:cs="Arial"/>
                <w:sz w:val="20"/>
                <w:szCs w:val="20"/>
              </w:rPr>
              <w:t>d</w:t>
            </w:r>
            <w:r w:rsidRPr="00CF23F2">
              <w:rPr>
                <w:rFonts w:cs="Arial"/>
                <w:sz w:val="20"/>
                <w:szCs w:val="20"/>
              </w:rPr>
              <w:t xml:space="preserve"> the categorisation of risk for the food handling activities used to profile businesses.</w:t>
            </w:r>
          </w:p>
        </w:tc>
      </w:tr>
      <w:tr w:rsidR="008962CE" w:rsidRPr="00CF23F2" w14:paraId="3DC561FB" w14:textId="77777777" w:rsidTr="00FD5F2E">
        <w:tc>
          <w:tcPr>
            <w:tcW w:w="6475" w:type="dxa"/>
          </w:tcPr>
          <w:p w14:paraId="6622428C" w14:textId="77777777" w:rsidR="008962CE" w:rsidRPr="00CF23F2" w:rsidRDefault="008962CE" w:rsidP="003A458A">
            <w:pPr>
              <w:rPr>
                <w:rFonts w:cs="Arial"/>
                <w:sz w:val="20"/>
                <w:szCs w:val="20"/>
              </w:rPr>
            </w:pPr>
            <w:r w:rsidRPr="00CF23F2">
              <w:rPr>
                <w:rFonts w:cs="Arial"/>
                <w:sz w:val="20"/>
                <w:szCs w:val="20"/>
              </w:rPr>
              <w:lastRenderedPageBreak/>
              <w:t xml:space="preserve">Consider a sub-segment/category for big/ international companies that already have established/global </w:t>
            </w:r>
            <w:r>
              <w:rPr>
                <w:rFonts w:cs="Arial"/>
                <w:sz w:val="20"/>
                <w:szCs w:val="20"/>
              </w:rPr>
              <w:t xml:space="preserve">standards </w:t>
            </w:r>
            <w:r w:rsidRPr="00CF23F2">
              <w:rPr>
                <w:rFonts w:cs="Arial"/>
                <w:sz w:val="20"/>
                <w:szCs w:val="20"/>
              </w:rPr>
              <w:t>and are 3</w:t>
            </w:r>
            <w:r w:rsidRPr="00CF23F2">
              <w:rPr>
                <w:rFonts w:cs="Arial"/>
                <w:sz w:val="20"/>
                <w:szCs w:val="20"/>
                <w:vertAlign w:val="superscript"/>
              </w:rPr>
              <w:t>rd</w:t>
            </w:r>
            <w:r w:rsidRPr="00CF23F2">
              <w:rPr>
                <w:rFonts w:cs="Arial"/>
                <w:sz w:val="20"/>
                <w:szCs w:val="20"/>
              </w:rPr>
              <w:t xml:space="preserve"> party audited – </w:t>
            </w:r>
            <w:r>
              <w:rPr>
                <w:rFonts w:cs="Arial"/>
                <w:sz w:val="20"/>
                <w:szCs w:val="20"/>
              </w:rPr>
              <w:t xml:space="preserve">they </w:t>
            </w:r>
            <w:r w:rsidRPr="00CF23F2">
              <w:rPr>
                <w:rFonts w:cs="Arial"/>
                <w:sz w:val="20"/>
                <w:szCs w:val="20"/>
              </w:rPr>
              <w:t>should not be forced to have an extra level of food safety management</w:t>
            </w:r>
          </w:p>
        </w:tc>
        <w:tc>
          <w:tcPr>
            <w:tcW w:w="1463" w:type="dxa"/>
          </w:tcPr>
          <w:p w14:paraId="4B5FD66A" w14:textId="77777777" w:rsidR="008962CE" w:rsidRPr="00CF23F2" w:rsidRDefault="008962CE" w:rsidP="003A458A">
            <w:pPr>
              <w:rPr>
                <w:rFonts w:cs="Arial"/>
                <w:sz w:val="20"/>
                <w:szCs w:val="20"/>
              </w:rPr>
            </w:pPr>
            <w:r w:rsidRPr="00CF23F2">
              <w:rPr>
                <w:rFonts w:cs="Arial"/>
                <w:sz w:val="20"/>
                <w:szCs w:val="20"/>
              </w:rPr>
              <w:t>service provider</w:t>
            </w:r>
          </w:p>
        </w:tc>
        <w:tc>
          <w:tcPr>
            <w:tcW w:w="6799" w:type="dxa"/>
          </w:tcPr>
          <w:p w14:paraId="36B18D61" w14:textId="36DA6B00" w:rsidR="008962CE" w:rsidRDefault="008962CE" w:rsidP="003A458A">
            <w:pPr>
              <w:rPr>
                <w:rFonts w:cs="Arial"/>
                <w:sz w:val="20"/>
                <w:szCs w:val="20"/>
              </w:rPr>
            </w:pPr>
            <w:r w:rsidRPr="00CF23F2">
              <w:rPr>
                <w:rFonts w:cs="Arial"/>
                <w:sz w:val="20"/>
                <w:szCs w:val="20"/>
              </w:rPr>
              <w:t>In our RIS, FSANZ considered that larger, more complex businesses are likely to already have systems and processes in place that meet or exceed the proposed requirements.</w:t>
            </w:r>
          </w:p>
          <w:p w14:paraId="7447BC0F" w14:textId="7A841BE8" w:rsidR="009A3796" w:rsidRDefault="009A3796" w:rsidP="003A458A">
            <w:pPr>
              <w:rPr>
                <w:rFonts w:cs="Arial"/>
                <w:sz w:val="20"/>
                <w:szCs w:val="20"/>
              </w:rPr>
            </w:pPr>
          </w:p>
          <w:p w14:paraId="392F7E81" w14:textId="00298807" w:rsidR="009A3796" w:rsidRPr="00CF23F2" w:rsidRDefault="009A3796" w:rsidP="003A458A">
            <w:pPr>
              <w:rPr>
                <w:rFonts w:cs="Arial"/>
                <w:sz w:val="20"/>
                <w:szCs w:val="20"/>
              </w:rPr>
            </w:pPr>
            <w:r>
              <w:rPr>
                <w:rFonts w:cs="Arial"/>
                <w:sz w:val="20"/>
                <w:szCs w:val="20"/>
              </w:rPr>
              <w:t>FSANZ will refer this comment to the IWG for consideration of implementation of the new Standard in businesses with existing food safety programs.</w:t>
            </w:r>
            <w:r w:rsidR="0081747A">
              <w:rPr>
                <w:rFonts w:cs="Arial"/>
                <w:sz w:val="20"/>
                <w:szCs w:val="20"/>
              </w:rPr>
              <w:t xml:space="preserve"> </w:t>
            </w:r>
          </w:p>
          <w:p w14:paraId="54899927" w14:textId="77777777" w:rsidR="008962CE" w:rsidRPr="00CF23F2" w:rsidRDefault="008962CE" w:rsidP="003A458A">
            <w:pPr>
              <w:rPr>
                <w:rFonts w:cs="Arial"/>
                <w:sz w:val="20"/>
                <w:szCs w:val="20"/>
              </w:rPr>
            </w:pPr>
          </w:p>
        </w:tc>
      </w:tr>
      <w:tr w:rsidR="008962CE" w:rsidRPr="00CF23F2" w14:paraId="024E4041" w14:textId="77777777" w:rsidTr="00FD5F2E">
        <w:tc>
          <w:tcPr>
            <w:tcW w:w="6475" w:type="dxa"/>
          </w:tcPr>
          <w:p w14:paraId="584CBAD7" w14:textId="77777777" w:rsidR="008962CE" w:rsidRPr="00CF23F2" w:rsidRDefault="008962CE" w:rsidP="003A458A">
            <w:pPr>
              <w:rPr>
                <w:rFonts w:cs="Arial"/>
                <w:sz w:val="20"/>
                <w:szCs w:val="20"/>
              </w:rPr>
            </w:pPr>
            <w:r w:rsidRPr="00CF23F2">
              <w:rPr>
                <w:rFonts w:cs="Arial"/>
                <w:sz w:val="20"/>
                <w:szCs w:val="20"/>
              </w:rPr>
              <w:t>Consider extending requirements/having an additional category for food delivery operations (unlikely to have training, unregulated, expanding business model)</w:t>
            </w:r>
          </w:p>
        </w:tc>
        <w:tc>
          <w:tcPr>
            <w:tcW w:w="1463" w:type="dxa"/>
          </w:tcPr>
          <w:p w14:paraId="12A8B016" w14:textId="77777777" w:rsidR="008962CE" w:rsidRPr="00CF23F2" w:rsidRDefault="008962CE" w:rsidP="003A458A">
            <w:pPr>
              <w:rPr>
                <w:rFonts w:cs="Arial"/>
                <w:sz w:val="20"/>
                <w:szCs w:val="20"/>
              </w:rPr>
            </w:pPr>
            <w:r w:rsidRPr="00CF23F2">
              <w:rPr>
                <w:rFonts w:cs="Arial"/>
                <w:sz w:val="20"/>
                <w:szCs w:val="20"/>
              </w:rPr>
              <w:t>service provider</w:t>
            </w:r>
          </w:p>
        </w:tc>
        <w:tc>
          <w:tcPr>
            <w:tcW w:w="6799" w:type="dxa"/>
          </w:tcPr>
          <w:p w14:paraId="5163F22B" w14:textId="340DAB70" w:rsidR="008962CE" w:rsidRPr="00CF23F2" w:rsidRDefault="009A3796" w:rsidP="009A3796">
            <w:pPr>
              <w:rPr>
                <w:rFonts w:cs="Arial"/>
                <w:sz w:val="20"/>
                <w:szCs w:val="20"/>
              </w:rPr>
            </w:pPr>
            <w:r>
              <w:rPr>
                <w:rFonts w:cs="Arial"/>
                <w:sz w:val="20"/>
                <w:szCs w:val="20"/>
              </w:rPr>
              <w:t>T</w:t>
            </w:r>
            <w:r w:rsidR="008962CE" w:rsidRPr="00CF23F2">
              <w:rPr>
                <w:rFonts w:cs="Arial"/>
                <w:sz w:val="20"/>
                <w:szCs w:val="20"/>
              </w:rPr>
              <w:t xml:space="preserve">he additional </w:t>
            </w:r>
            <w:r>
              <w:rPr>
                <w:rFonts w:cs="Arial"/>
                <w:sz w:val="20"/>
                <w:szCs w:val="20"/>
              </w:rPr>
              <w:t xml:space="preserve">regulatory </w:t>
            </w:r>
            <w:r w:rsidR="008962CE" w:rsidRPr="00CF23F2">
              <w:rPr>
                <w:rFonts w:cs="Arial"/>
                <w:sz w:val="20"/>
                <w:szCs w:val="20"/>
              </w:rPr>
              <w:t xml:space="preserve">requirements of the new Standard </w:t>
            </w:r>
            <w:r>
              <w:rPr>
                <w:rFonts w:cs="Arial"/>
                <w:sz w:val="20"/>
                <w:szCs w:val="20"/>
              </w:rPr>
              <w:t>have been assessed as appropriate for food businesses in category 1 and 2 handling unpackaged potentially hazardous food. Food delivery operations typically do not prepare or handle unpackaged potentially hazardous food and therefore would be similar</w:t>
            </w:r>
            <w:r w:rsidR="008962CE" w:rsidRPr="00CF23F2">
              <w:rPr>
                <w:rFonts w:cs="Arial"/>
                <w:sz w:val="20"/>
                <w:szCs w:val="20"/>
              </w:rPr>
              <w:t xml:space="preserve"> in risk to Category 3</w:t>
            </w:r>
            <w:r w:rsidR="008962CE">
              <w:rPr>
                <w:rFonts w:cs="Arial"/>
                <w:sz w:val="20"/>
                <w:szCs w:val="20"/>
              </w:rPr>
              <w:t xml:space="preserve">. </w:t>
            </w:r>
            <w:r>
              <w:rPr>
                <w:rFonts w:cs="Arial"/>
                <w:sz w:val="20"/>
                <w:szCs w:val="20"/>
              </w:rPr>
              <w:t>FSANZ will consider food delivery operations when developing education/guidance material as non-regulatory tools for category 3 businesses.</w:t>
            </w:r>
          </w:p>
        </w:tc>
      </w:tr>
      <w:tr w:rsidR="008962CE" w:rsidRPr="00CF23F2" w14:paraId="315C0B78" w14:textId="77777777" w:rsidTr="00FD5F2E">
        <w:tc>
          <w:tcPr>
            <w:tcW w:w="6475" w:type="dxa"/>
          </w:tcPr>
          <w:p w14:paraId="0F03AEEB" w14:textId="77777777" w:rsidR="008962CE" w:rsidRPr="00CF23F2" w:rsidRDefault="008962CE" w:rsidP="003A458A">
            <w:pPr>
              <w:rPr>
                <w:rFonts w:cs="Arial"/>
                <w:sz w:val="20"/>
                <w:szCs w:val="20"/>
              </w:rPr>
            </w:pPr>
            <w:r w:rsidRPr="00CF23F2">
              <w:rPr>
                <w:rFonts w:cs="Arial"/>
                <w:sz w:val="20"/>
                <w:szCs w:val="20"/>
              </w:rPr>
              <w:t>‘Process’ definition has no mention of cook/chill</w:t>
            </w:r>
            <w:r>
              <w:rPr>
                <w:rFonts w:cs="Arial"/>
                <w:sz w:val="20"/>
                <w:szCs w:val="20"/>
              </w:rPr>
              <w:t>.</w:t>
            </w:r>
          </w:p>
        </w:tc>
        <w:tc>
          <w:tcPr>
            <w:tcW w:w="1463" w:type="dxa"/>
          </w:tcPr>
          <w:p w14:paraId="1B5A34C8" w14:textId="77777777" w:rsidR="008962CE" w:rsidRPr="00CF23F2" w:rsidRDefault="008962CE" w:rsidP="003A458A">
            <w:pPr>
              <w:rPr>
                <w:rFonts w:cs="Arial"/>
                <w:sz w:val="20"/>
                <w:szCs w:val="20"/>
              </w:rPr>
            </w:pPr>
            <w:r w:rsidRPr="00CF23F2">
              <w:rPr>
                <w:rFonts w:cs="Arial"/>
                <w:sz w:val="20"/>
                <w:szCs w:val="20"/>
              </w:rPr>
              <w:t>local council</w:t>
            </w:r>
            <w:r w:rsidRPr="00CF23F2" w:rsidDel="00AA2454">
              <w:rPr>
                <w:rFonts w:cs="Arial"/>
                <w:sz w:val="20"/>
                <w:szCs w:val="20"/>
              </w:rPr>
              <w:t xml:space="preserve"> </w:t>
            </w:r>
          </w:p>
        </w:tc>
        <w:tc>
          <w:tcPr>
            <w:tcW w:w="6799" w:type="dxa"/>
          </w:tcPr>
          <w:p w14:paraId="6EA7AB1B" w14:textId="77777777" w:rsidR="008962CE" w:rsidRPr="00CF23F2" w:rsidRDefault="008962CE" w:rsidP="003A458A">
            <w:pPr>
              <w:rPr>
                <w:rFonts w:cs="Arial"/>
                <w:sz w:val="20"/>
                <w:szCs w:val="20"/>
              </w:rPr>
            </w:pPr>
            <w:r>
              <w:rPr>
                <w:rFonts w:cs="Arial"/>
                <w:sz w:val="20"/>
                <w:szCs w:val="20"/>
              </w:rPr>
              <w:t>The definition of process in standard 3.2.2A is consistent with the definition provided in Standard 3.2.2.</w:t>
            </w:r>
          </w:p>
        </w:tc>
      </w:tr>
      <w:tr w:rsidR="008962CE" w:rsidRPr="00CF23F2" w14:paraId="196EFD82" w14:textId="77777777" w:rsidTr="00FD5F2E">
        <w:trPr>
          <w:trHeight w:val="3324"/>
        </w:trPr>
        <w:tc>
          <w:tcPr>
            <w:tcW w:w="6475" w:type="dxa"/>
          </w:tcPr>
          <w:p w14:paraId="3330BA5C" w14:textId="77777777" w:rsidR="008962CE" w:rsidRDefault="008962CE" w:rsidP="003A458A">
            <w:pPr>
              <w:rPr>
                <w:rFonts w:cs="Arial"/>
                <w:sz w:val="20"/>
                <w:szCs w:val="20"/>
              </w:rPr>
            </w:pPr>
            <w:r>
              <w:rPr>
                <w:rFonts w:cs="Arial"/>
                <w:sz w:val="20"/>
                <w:szCs w:val="20"/>
              </w:rPr>
              <w:t>E</w:t>
            </w:r>
            <w:r w:rsidRPr="00CF23F2">
              <w:rPr>
                <w:rFonts w:cs="Arial"/>
                <w:sz w:val="20"/>
                <w:szCs w:val="20"/>
              </w:rPr>
              <w:t>xemption for the handling of food for or at a ‘fund raising event’</w:t>
            </w:r>
            <w:r>
              <w:rPr>
                <w:rFonts w:cs="Arial"/>
                <w:sz w:val="20"/>
                <w:szCs w:val="20"/>
              </w:rPr>
              <w:t>:</w:t>
            </w:r>
          </w:p>
          <w:p w14:paraId="6F6A2500" w14:textId="77777777" w:rsidR="008962CE" w:rsidRPr="00B218F0" w:rsidRDefault="008962CE" w:rsidP="00614AF5">
            <w:pPr>
              <w:pStyle w:val="ListParagraph"/>
              <w:numPr>
                <w:ilvl w:val="0"/>
                <w:numId w:val="14"/>
              </w:numPr>
              <w:rPr>
                <w:rFonts w:cs="Arial"/>
                <w:sz w:val="20"/>
                <w:szCs w:val="20"/>
              </w:rPr>
            </w:pPr>
            <w:r w:rsidRPr="00B218F0" w:rsidDel="00CC0422">
              <w:rPr>
                <w:rFonts w:cs="Arial"/>
                <w:sz w:val="20"/>
                <w:szCs w:val="20"/>
              </w:rPr>
              <w:t>T</w:t>
            </w:r>
            <w:r w:rsidRPr="00B218F0">
              <w:rPr>
                <w:rFonts w:cs="Arial"/>
                <w:sz w:val="20"/>
                <w:szCs w:val="20"/>
              </w:rPr>
              <w:t>here should not be an exemption for food handlers preparing food at the event</w:t>
            </w:r>
            <w:r>
              <w:rPr>
                <w:rFonts w:cs="Arial"/>
                <w:sz w:val="20"/>
                <w:szCs w:val="20"/>
              </w:rPr>
              <w:t>.</w:t>
            </w:r>
            <w:r w:rsidRPr="00B218F0">
              <w:rPr>
                <w:rFonts w:cs="Arial"/>
                <w:sz w:val="20"/>
                <w:szCs w:val="20"/>
              </w:rPr>
              <w:t xml:space="preserve"> </w:t>
            </w:r>
          </w:p>
          <w:p w14:paraId="561A5913" w14:textId="77777777" w:rsidR="008962CE" w:rsidRPr="00B218F0" w:rsidRDefault="008962CE" w:rsidP="00614AF5">
            <w:pPr>
              <w:pStyle w:val="ListParagraph"/>
              <w:numPr>
                <w:ilvl w:val="0"/>
                <w:numId w:val="14"/>
              </w:numPr>
              <w:rPr>
                <w:rFonts w:cs="Arial"/>
                <w:sz w:val="20"/>
                <w:szCs w:val="20"/>
              </w:rPr>
            </w:pPr>
            <w:r w:rsidRPr="58A14E8B">
              <w:rPr>
                <w:rFonts w:cs="Arial"/>
                <w:sz w:val="20"/>
                <w:szCs w:val="20"/>
              </w:rPr>
              <w:t xml:space="preserve">A commercial caterer or large food business should not be exempt from basic food handling requirements. </w:t>
            </w:r>
          </w:p>
          <w:p w14:paraId="4BD81348" w14:textId="77777777" w:rsidR="008962CE" w:rsidRPr="00B218F0" w:rsidRDefault="008962CE" w:rsidP="00614AF5">
            <w:pPr>
              <w:pStyle w:val="ListParagraph"/>
              <w:numPr>
                <w:ilvl w:val="0"/>
                <w:numId w:val="14"/>
              </w:numPr>
              <w:rPr>
                <w:rFonts w:cs="Arial"/>
                <w:sz w:val="20"/>
                <w:szCs w:val="20"/>
              </w:rPr>
            </w:pPr>
            <w:r w:rsidRPr="58A14E8B">
              <w:rPr>
                <w:rFonts w:cs="Arial"/>
                <w:sz w:val="20"/>
                <w:szCs w:val="20"/>
              </w:rPr>
              <w:t>Remove the FSS exemption for certain non-profit operations, where the risk of handling PHF is similar to other food businesses.</w:t>
            </w:r>
          </w:p>
          <w:p w14:paraId="3B6881C8" w14:textId="77777777" w:rsidR="008962CE" w:rsidRPr="00B218F0" w:rsidRDefault="008962CE" w:rsidP="00614AF5">
            <w:pPr>
              <w:pStyle w:val="ListParagraph"/>
              <w:numPr>
                <w:ilvl w:val="0"/>
                <w:numId w:val="14"/>
              </w:numPr>
              <w:rPr>
                <w:rFonts w:cs="Arial"/>
                <w:sz w:val="20"/>
                <w:szCs w:val="20"/>
              </w:rPr>
            </w:pPr>
            <w:r w:rsidRPr="58A14E8B">
              <w:rPr>
                <w:rFonts w:cs="Arial"/>
                <w:sz w:val="20"/>
                <w:szCs w:val="20"/>
              </w:rPr>
              <w:t>Expand the definition of ‘fund raising event’ to ensure sporting clubs and other not-for-profit groups are not captured.</w:t>
            </w:r>
          </w:p>
          <w:p w14:paraId="33479A37" w14:textId="77777777" w:rsidR="008962CE" w:rsidRPr="00B218F0" w:rsidRDefault="008962CE" w:rsidP="00614AF5">
            <w:pPr>
              <w:pStyle w:val="ListParagraph"/>
              <w:numPr>
                <w:ilvl w:val="0"/>
                <w:numId w:val="14"/>
              </w:numPr>
              <w:rPr>
                <w:rFonts w:cs="Arial"/>
                <w:sz w:val="20"/>
                <w:szCs w:val="20"/>
              </w:rPr>
            </w:pPr>
            <w:r w:rsidRPr="58A14E8B">
              <w:rPr>
                <w:rFonts w:cs="Arial"/>
                <w:sz w:val="20"/>
                <w:szCs w:val="20"/>
              </w:rPr>
              <w:t>Clarify whether the standard applies to infrequent one-off events by community/charitable groups or if it applies to e.g. daily meals provided. We support one-off events being exempt. We encourage volunteers who want basic food handling training to be trained.</w:t>
            </w:r>
          </w:p>
          <w:p w14:paraId="5CF41189" w14:textId="77777777" w:rsidR="008962CE" w:rsidRPr="00B218F0" w:rsidRDefault="008962CE" w:rsidP="003A458A">
            <w:pPr>
              <w:pStyle w:val="ListParagraph"/>
              <w:rPr>
                <w:rFonts w:cs="Arial"/>
                <w:sz w:val="20"/>
                <w:szCs w:val="20"/>
              </w:rPr>
            </w:pPr>
          </w:p>
        </w:tc>
        <w:tc>
          <w:tcPr>
            <w:tcW w:w="1463" w:type="dxa"/>
          </w:tcPr>
          <w:p w14:paraId="1A51A1A5"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48B2E77F" w14:textId="77777777" w:rsidR="008962CE" w:rsidRDefault="008962CE" w:rsidP="003A458A">
            <w:pPr>
              <w:rPr>
                <w:rFonts w:cs="Arial"/>
                <w:sz w:val="20"/>
                <w:szCs w:val="20"/>
              </w:rPr>
            </w:pPr>
            <w:r w:rsidRPr="58A14E8B">
              <w:rPr>
                <w:rFonts w:cs="Arial"/>
                <w:sz w:val="20"/>
                <w:szCs w:val="20"/>
              </w:rPr>
              <w:t xml:space="preserve">The proposed exemption in Standard 3.2.2A applies only to food handling at or for a fund raising event. </w:t>
            </w:r>
          </w:p>
          <w:p w14:paraId="1267C197" w14:textId="77777777" w:rsidR="008962CE" w:rsidRDefault="008962CE" w:rsidP="003A458A">
            <w:pPr>
              <w:rPr>
                <w:rFonts w:cs="Arial"/>
                <w:sz w:val="20"/>
                <w:szCs w:val="20"/>
              </w:rPr>
            </w:pPr>
          </w:p>
          <w:p w14:paraId="317A7827" w14:textId="77777777" w:rsidR="008962CE" w:rsidRDefault="008962CE" w:rsidP="003A458A">
            <w:pPr>
              <w:rPr>
                <w:rFonts w:cs="Arial"/>
                <w:sz w:val="20"/>
                <w:szCs w:val="20"/>
              </w:rPr>
            </w:pPr>
            <w:r w:rsidRPr="58A14E8B">
              <w:rPr>
                <w:rFonts w:cs="Arial"/>
                <w:sz w:val="20"/>
                <w:szCs w:val="20"/>
              </w:rPr>
              <w:t>The definition of fund raising event replicates Standard 1.1.1 definition which is already in place, and is intended for once-off events. There is no exemption for ‘non-profit organisations’.</w:t>
            </w:r>
          </w:p>
          <w:p w14:paraId="42602FC8" w14:textId="77777777" w:rsidR="008962CE" w:rsidRDefault="008962CE" w:rsidP="003A458A">
            <w:pPr>
              <w:rPr>
                <w:rFonts w:cs="Arial"/>
                <w:sz w:val="20"/>
                <w:szCs w:val="20"/>
              </w:rPr>
            </w:pPr>
          </w:p>
          <w:p w14:paraId="7F15EDA9" w14:textId="77777777" w:rsidR="008962CE" w:rsidRDefault="008962CE" w:rsidP="003A458A">
            <w:pPr>
              <w:rPr>
                <w:rFonts w:cs="Arial"/>
                <w:sz w:val="20"/>
                <w:szCs w:val="20"/>
              </w:rPr>
            </w:pPr>
            <w:r w:rsidRPr="58A14E8B">
              <w:rPr>
                <w:rFonts w:cs="Arial"/>
                <w:sz w:val="20"/>
                <w:szCs w:val="20"/>
              </w:rPr>
              <w:t>The application of regulatory measures to not-for-profit entities is within the remit of the relevant state/territory Food Act.</w:t>
            </w:r>
          </w:p>
          <w:p w14:paraId="074B5CB7" w14:textId="77777777" w:rsidR="008962CE" w:rsidRDefault="008962CE" w:rsidP="003A458A">
            <w:pPr>
              <w:rPr>
                <w:rFonts w:cs="Arial"/>
                <w:sz w:val="20"/>
                <w:szCs w:val="20"/>
              </w:rPr>
            </w:pPr>
          </w:p>
          <w:p w14:paraId="2B593C67" w14:textId="07556A34" w:rsidR="008962CE" w:rsidRPr="00CF23F2" w:rsidRDefault="008962CE" w:rsidP="003A458A">
            <w:pPr>
              <w:rPr>
                <w:rFonts w:cs="Arial"/>
                <w:sz w:val="20"/>
                <w:szCs w:val="20"/>
              </w:rPr>
            </w:pPr>
            <w:r w:rsidRPr="02C895D1">
              <w:rPr>
                <w:rFonts w:cs="Arial"/>
                <w:sz w:val="20"/>
                <w:szCs w:val="20"/>
              </w:rPr>
              <w:t>Standard 3.2.2 does not exempt the handling of food for or at a fund</w:t>
            </w:r>
            <w:r w:rsidR="008D003A">
              <w:rPr>
                <w:rFonts w:cs="Arial"/>
                <w:sz w:val="20"/>
                <w:szCs w:val="20"/>
              </w:rPr>
              <w:t xml:space="preserve"> </w:t>
            </w:r>
            <w:r w:rsidRPr="02C895D1">
              <w:rPr>
                <w:rFonts w:cs="Arial"/>
                <w:sz w:val="20"/>
                <w:szCs w:val="20"/>
              </w:rPr>
              <w:t>raising event from</w:t>
            </w:r>
            <w:r w:rsidR="5F691D0C" w:rsidRPr="02C895D1">
              <w:rPr>
                <w:rFonts w:cs="Arial"/>
                <w:sz w:val="20"/>
                <w:szCs w:val="20"/>
              </w:rPr>
              <w:t xml:space="preserve"> preparing/handling food safely (i.e.</w:t>
            </w:r>
            <w:r w:rsidRPr="02C895D1">
              <w:rPr>
                <w:rFonts w:cs="Arial"/>
                <w:sz w:val="20"/>
                <w:szCs w:val="20"/>
              </w:rPr>
              <w:t xml:space="preserve"> the requirements </w:t>
            </w:r>
            <w:r w:rsidR="05043C29" w:rsidRPr="02C895D1">
              <w:rPr>
                <w:rFonts w:cs="Arial"/>
                <w:sz w:val="20"/>
                <w:szCs w:val="20"/>
              </w:rPr>
              <w:t>on</w:t>
            </w:r>
            <w:r w:rsidRPr="02C895D1">
              <w:rPr>
                <w:rFonts w:cs="Arial"/>
                <w:sz w:val="20"/>
                <w:szCs w:val="20"/>
              </w:rPr>
              <w:t xml:space="preserve"> preparing and handling potentially hazardous food</w:t>
            </w:r>
            <w:r w:rsidR="05043C29" w:rsidRPr="02C895D1">
              <w:rPr>
                <w:rFonts w:cs="Arial"/>
                <w:sz w:val="20"/>
                <w:szCs w:val="20"/>
              </w:rPr>
              <w:t xml:space="preserve"> </w:t>
            </w:r>
            <w:r w:rsidR="5F691D0C" w:rsidRPr="02C895D1">
              <w:rPr>
                <w:rFonts w:cs="Arial"/>
                <w:sz w:val="20"/>
                <w:szCs w:val="20"/>
              </w:rPr>
              <w:t xml:space="preserve">within </w:t>
            </w:r>
            <w:r w:rsidR="05043C29" w:rsidRPr="02C895D1">
              <w:rPr>
                <w:rFonts w:cs="Arial"/>
                <w:sz w:val="20"/>
                <w:szCs w:val="20"/>
              </w:rPr>
              <w:t>Standard 3.2.2)</w:t>
            </w:r>
            <w:r w:rsidRPr="02C895D1">
              <w:rPr>
                <w:rFonts w:cs="Arial"/>
                <w:sz w:val="20"/>
                <w:szCs w:val="20"/>
              </w:rPr>
              <w:t>.</w:t>
            </w:r>
          </w:p>
        </w:tc>
      </w:tr>
      <w:tr w:rsidR="008962CE" w:rsidRPr="00CF23F2" w14:paraId="69CAD85A" w14:textId="77777777" w:rsidTr="55CA05F7">
        <w:trPr>
          <w:trHeight w:val="375"/>
        </w:trPr>
        <w:tc>
          <w:tcPr>
            <w:tcW w:w="14737" w:type="dxa"/>
            <w:gridSpan w:val="3"/>
            <w:shd w:val="clear" w:color="auto" w:fill="DDD9C3" w:themeFill="background2" w:themeFillShade="E6"/>
          </w:tcPr>
          <w:p w14:paraId="52001FA5" w14:textId="4B6555D6" w:rsidR="008962CE" w:rsidRDefault="008962CE" w:rsidP="003A458A">
            <w:pPr>
              <w:rPr>
                <w:rFonts w:cs="Arial"/>
                <w:b/>
                <w:sz w:val="20"/>
                <w:szCs w:val="20"/>
              </w:rPr>
            </w:pPr>
            <w:r>
              <w:rPr>
                <w:rFonts w:cs="Arial"/>
                <w:b/>
                <w:sz w:val="20"/>
                <w:szCs w:val="20"/>
              </w:rPr>
              <w:t>Comments on the proposed tools</w:t>
            </w:r>
            <w:r w:rsidR="0081102A">
              <w:rPr>
                <w:rFonts w:cs="Arial"/>
                <w:b/>
                <w:sz w:val="20"/>
                <w:szCs w:val="20"/>
              </w:rPr>
              <w:t>:</w:t>
            </w:r>
            <w:r w:rsidR="0081747A">
              <w:rPr>
                <w:rFonts w:cs="Arial"/>
                <w:b/>
                <w:sz w:val="20"/>
                <w:szCs w:val="20"/>
              </w:rPr>
              <w:t xml:space="preserve"> </w:t>
            </w:r>
            <w:r w:rsidR="0081102A">
              <w:rPr>
                <w:rFonts w:cs="Arial"/>
                <w:b/>
                <w:sz w:val="20"/>
                <w:szCs w:val="20"/>
              </w:rPr>
              <w:t>FSS, FHT, E</w:t>
            </w:r>
          </w:p>
        </w:tc>
      </w:tr>
      <w:tr w:rsidR="008962CE" w:rsidRPr="00CF23F2" w14:paraId="2389CABB" w14:textId="77777777" w:rsidTr="00FD5F2E">
        <w:tc>
          <w:tcPr>
            <w:tcW w:w="6475" w:type="dxa"/>
          </w:tcPr>
          <w:p w14:paraId="25DAE59D" w14:textId="77777777" w:rsidR="008962CE" w:rsidRDefault="008962CE" w:rsidP="003A458A">
            <w:pPr>
              <w:rPr>
                <w:rFonts w:cs="Arial"/>
                <w:sz w:val="20"/>
                <w:szCs w:val="20"/>
              </w:rPr>
            </w:pPr>
            <w:r>
              <w:rPr>
                <w:rFonts w:cs="Arial"/>
                <w:sz w:val="20"/>
                <w:szCs w:val="20"/>
              </w:rPr>
              <w:t xml:space="preserve">The </w:t>
            </w:r>
            <w:r w:rsidRPr="00BE0A4A">
              <w:rPr>
                <w:rFonts w:cs="Arial"/>
                <w:sz w:val="20"/>
                <w:szCs w:val="20"/>
              </w:rPr>
              <w:t>standard should include explicit definition / minimal criteria of FSS age, experience, levels of training, hours of work, number of locations responsible for/overseeing</w:t>
            </w:r>
          </w:p>
        </w:tc>
        <w:tc>
          <w:tcPr>
            <w:tcW w:w="1463" w:type="dxa"/>
          </w:tcPr>
          <w:p w14:paraId="59A7879C" w14:textId="77777777" w:rsidR="008962CE" w:rsidRPr="00CF23F2" w:rsidRDefault="008962CE" w:rsidP="003A458A">
            <w:pPr>
              <w:rPr>
                <w:rFonts w:cs="Arial"/>
                <w:sz w:val="20"/>
                <w:szCs w:val="20"/>
              </w:rPr>
            </w:pPr>
            <w:r>
              <w:rPr>
                <w:rFonts w:cs="Arial"/>
                <w:sz w:val="20"/>
                <w:szCs w:val="20"/>
              </w:rPr>
              <w:t>local council</w:t>
            </w:r>
          </w:p>
        </w:tc>
        <w:tc>
          <w:tcPr>
            <w:tcW w:w="6799" w:type="dxa"/>
          </w:tcPr>
          <w:p w14:paraId="0B0A41C5" w14:textId="349965C4" w:rsidR="008962CE" w:rsidRDefault="008962CE" w:rsidP="0076382D">
            <w:pPr>
              <w:rPr>
                <w:rFonts w:cs="Arial"/>
                <w:sz w:val="20"/>
                <w:szCs w:val="20"/>
              </w:rPr>
            </w:pPr>
            <w:r w:rsidRPr="00CF23F2">
              <w:rPr>
                <w:rFonts w:cs="Arial"/>
                <w:sz w:val="20"/>
                <w:szCs w:val="20"/>
              </w:rPr>
              <w:t xml:space="preserve">FSANZ considers these criteria </w:t>
            </w:r>
            <w:r w:rsidR="0076382D">
              <w:rPr>
                <w:rFonts w:cs="Arial"/>
                <w:sz w:val="20"/>
                <w:szCs w:val="20"/>
              </w:rPr>
              <w:t>too</w:t>
            </w:r>
            <w:r w:rsidRPr="00CF23F2">
              <w:rPr>
                <w:rFonts w:cs="Arial"/>
                <w:sz w:val="20"/>
                <w:szCs w:val="20"/>
              </w:rPr>
              <w:t xml:space="preserve"> prescriptive for inclusion in a </w:t>
            </w:r>
            <w:r>
              <w:rPr>
                <w:rFonts w:cs="Arial"/>
                <w:sz w:val="20"/>
                <w:szCs w:val="20"/>
              </w:rPr>
              <w:t>s</w:t>
            </w:r>
            <w:r w:rsidRPr="00CF23F2">
              <w:rPr>
                <w:rFonts w:cs="Arial"/>
                <w:sz w:val="20"/>
                <w:szCs w:val="20"/>
              </w:rPr>
              <w:t>tandard.</w:t>
            </w:r>
          </w:p>
        </w:tc>
      </w:tr>
      <w:tr w:rsidR="008962CE" w14:paraId="7F0131B3" w14:textId="77777777" w:rsidTr="00FD5F2E">
        <w:tc>
          <w:tcPr>
            <w:tcW w:w="6475" w:type="dxa"/>
          </w:tcPr>
          <w:p w14:paraId="78332931" w14:textId="77777777" w:rsidR="008962CE" w:rsidRDefault="008962CE" w:rsidP="003A458A">
            <w:pPr>
              <w:rPr>
                <w:rFonts w:cs="Arial"/>
                <w:sz w:val="20"/>
                <w:szCs w:val="20"/>
              </w:rPr>
            </w:pPr>
            <w:r w:rsidRPr="58A14E8B">
              <w:rPr>
                <w:rFonts w:cs="Arial"/>
                <w:sz w:val="20"/>
                <w:szCs w:val="20"/>
              </w:rPr>
              <w:lastRenderedPageBreak/>
              <w:t>FSS requirement should include all food sectors, including those using a whole-of-business food safety program.</w:t>
            </w:r>
          </w:p>
        </w:tc>
        <w:tc>
          <w:tcPr>
            <w:tcW w:w="1463" w:type="dxa"/>
          </w:tcPr>
          <w:p w14:paraId="5DC04505" w14:textId="77777777" w:rsidR="008962CE" w:rsidRDefault="008962CE" w:rsidP="003A458A">
            <w:pPr>
              <w:rPr>
                <w:rFonts w:cs="Arial"/>
                <w:sz w:val="20"/>
                <w:szCs w:val="20"/>
              </w:rPr>
            </w:pPr>
            <w:r w:rsidRPr="724B7FB2">
              <w:rPr>
                <w:rFonts w:cs="Arial"/>
                <w:sz w:val="20"/>
                <w:szCs w:val="20"/>
              </w:rPr>
              <w:t>local council</w:t>
            </w:r>
          </w:p>
        </w:tc>
        <w:tc>
          <w:tcPr>
            <w:tcW w:w="6799" w:type="dxa"/>
          </w:tcPr>
          <w:p w14:paraId="3424B359" w14:textId="31206A16" w:rsidR="008962CE" w:rsidRDefault="008962CE" w:rsidP="0076382D">
            <w:pPr>
              <w:rPr>
                <w:rFonts w:cs="Arial"/>
                <w:sz w:val="20"/>
                <w:szCs w:val="20"/>
              </w:rPr>
            </w:pPr>
            <w:r>
              <w:rPr>
                <w:rFonts w:cs="Arial"/>
                <w:sz w:val="20"/>
                <w:szCs w:val="20"/>
              </w:rPr>
              <w:t xml:space="preserve">FSANZ assessment, set out in this report and associated DRIS, </w:t>
            </w:r>
            <w:r w:rsidRPr="58A14E8B">
              <w:rPr>
                <w:rFonts w:cs="Arial"/>
                <w:sz w:val="20"/>
                <w:szCs w:val="20"/>
              </w:rPr>
              <w:t>evaluate</w:t>
            </w:r>
            <w:r>
              <w:rPr>
                <w:rFonts w:cs="Arial"/>
                <w:sz w:val="20"/>
                <w:szCs w:val="20"/>
              </w:rPr>
              <w:t>s the FSS requirement</w:t>
            </w:r>
            <w:r w:rsidRPr="58A14E8B">
              <w:rPr>
                <w:rFonts w:cs="Arial"/>
                <w:sz w:val="20"/>
                <w:szCs w:val="20"/>
              </w:rPr>
              <w:t xml:space="preserve"> for food handling activities characteristic of food service and retail sectors.</w:t>
            </w:r>
            <w:r w:rsidR="0081102A">
              <w:rPr>
                <w:rFonts w:cs="Arial"/>
                <w:sz w:val="20"/>
                <w:szCs w:val="20"/>
              </w:rPr>
              <w:t xml:space="preserve"> </w:t>
            </w:r>
            <w:r w:rsidR="0076382D">
              <w:rPr>
                <w:rFonts w:cs="Arial"/>
                <w:sz w:val="20"/>
                <w:szCs w:val="20"/>
              </w:rPr>
              <w:t>The application of FSS more broadly has not been assessed.</w:t>
            </w:r>
          </w:p>
        </w:tc>
      </w:tr>
      <w:tr w:rsidR="008962CE" w14:paraId="15EB7CCF" w14:textId="77777777" w:rsidTr="00FD5F2E">
        <w:tc>
          <w:tcPr>
            <w:tcW w:w="6475" w:type="dxa"/>
          </w:tcPr>
          <w:p w14:paraId="6BDC8E18" w14:textId="77777777" w:rsidR="008962CE" w:rsidRDefault="008962CE" w:rsidP="003A458A">
            <w:pPr>
              <w:rPr>
                <w:rFonts w:cs="Arial"/>
                <w:sz w:val="20"/>
                <w:szCs w:val="20"/>
              </w:rPr>
            </w:pPr>
            <w:r w:rsidRPr="58A14E8B">
              <w:rPr>
                <w:rFonts w:cs="Arial"/>
                <w:sz w:val="20"/>
                <w:szCs w:val="20"/>
              </w:rPr>
              <w:t>The FSS course should have a standard structure/ designated course under legislation.</w:t>
            </w:r>
          </w:p>
          <w:p w14:paraId="0744287B" w14:textId="77777777" w:rsidR="008962CE" w:rsidRDefault="008962CE" w:rsidP="003A458A">
            <w:pPr>
              <w:rPr>
                <w:rFonts w:cs="Arial"/>
                <w:sz w:val="20"/>
                <w:szCs w:val="20"/>
              </w:rPr>
            </w:pPr>
          </w:p>
        </w:tc>
        <w:tc>
          <w:tcPr>
            <w:tcW w:w="1463" w:type="dxa"/>
          </w:tcPr>
          <w:p w14:paraId="5CD1B09A" w14:textId="77777777" w:rsidR="008962CE" w:rsidRDefault="008962CE" w:rsidP="003A458A">
            <w:pPr>
              <w:rPr>
                <w:rFonts w:cs="Arial"/>
                <w:sz w:val="20"/>
                <w:szCs w:val="20"/>
              </w:rPr>
            </w:pPr>
            <w:r w:rsidRPr="58A14E8B">
              <w:rPr>
                <w:rFonts w:cs="Arial"/>
                <w:sz w:val="20"/>
                <w:szCs w:val="20"/>
              </w:rPr>
              <w:t>local council</w:t>
            </w:r>
          </w:p>
        </w:tc>
        <w:tc>
          <w:tcPr>
            <w:tcW w:w="6799" w:type="dxa"/>
          </w:tcPr>
          <w:p w14:paraId="7370ED71" w14:textId="4043BB5D" w:rsidR="008962CE" w:rsidRDefault="008962CE" w:rsidP="003A458A">
            <w:pPr>
              <w:rPr>
                <w:rFonts w:cs="Arial"/>
                <w:sz w:val="20"/>
                <w:szCs w:val="20"/>
              </w:rPr>
            </w:pPr>
            <w:r w:rsidRPr="58A14E8B">
              <w:rPr>
                <w:rFonts w:cs="Arial"/>
                <w:sz w:val="20"/>
                <w:szCs w:val="20"/>
              </w:rPr>
              <w:t>The requirement in Standard 3.2.2A is that the training be provided by a Registered training organisations (RTO), or approved training facility as referenced in state/territory food legislation (e.g. NSW)</w:t>
            </w:r>
            <w:r w:rsidR="0076382D">
              <w:rPr>
                <w:rFonts w:cs="Arial"/>
                <w:sz w:val="20"/>
                <w:szCs w:val="20"/>
              </w:rPr>
              <w:t xml:space="preserve">. </w:t>
            </w:r>
            <w:r w:rsidR="0076382D" w:rsidRPr="0076382D">
              <w:rPr>
                <w:rFonts w:cs="Arial"/>
                <w:sz w:val="20"/>
                <w:szCs w:val="20"/>
              </w:rPr>
              <w:t>This approach provides for quality training governed by the appropriate training authority. It provides flexibility enabling curriculum updates when required</w:t>
            </w:r>
            <w:r w:rsidR="0076382D">
              <w:rPr>
                <w:rFonts w:cs="Arial"/>
                <w:sz w:val="20"/>
                <w:szCs w:val="20"/>
              </w:rPr>
              <w:t>.</w:t>
            </w:r>
          </w:p>
          <w:p w14:paraId="4E51FEA9" w14:textId="77777777" w:rsidR="008962CE" w:rsidRDefault="008962CE" w:rsidP="003A458A">
            <w:pPr>
              <w:rPr>
                <w:rFonts w:cs="Arial"/>
                <w:sz w:val="20"/>
                <w:szCs w:val="20"/>
              </w:rPr>
            </w:pPr>
          </w:p>
          <w:p w14:paraId="2EA1F2C7" w14:textId="3343A724" w:rsidR="008962CE" w:rsidRDefault="008962CE" w:rsidP="003E676F">
            <w:pPr>
              <w:rPr>
                <w:rFonts w:cs="Arial"/>
                <w:sz w:val="20"/>
                <w:szCs w:val="20"/>
              </w:rPr>
            </w:pPr>
            <w:r w:rsidRPr="58A14E8B">
              <w:rPr>
                <w:rFonts w:cs="Arial"/>
                <w:sz w:val="20"/>
                <w:szCs w:val="20"/>
              </w:rPr>
              <w:t>RTOs are providers and assessors of nationally recognised training that have been registered by the Australian Skills Quality Authority (ASQA). Only RTOs can issue nationally recognised qualifications. To become registered, training providers must meet the Australian Quality Training Framework 2019 standards. This ensures the quality of Vocational Education and Training (VET) services throughout Australia.</w:t>
            </w:r>
          </w:p>
        </w:tc>
      </w:tr>
      <w:tr w:rsidR="008962CE" w:rsidRPr="00CF23F2" w14:paraId="13F533BD" w14:textId="77777777" w:rsidTr="00FD5F2E">
        <w:tc>
          <w:tcPr>
            <w:tcW w:w="6475" w:type="dxa"/>
          </w:tcPr>
          <w:p w14:paraId="061FD3BD" w14:textId="77777777" w:rsidR="008962CE" w:rsidRDefault="008962CE" w:rsidP="003A458A">
            <w:pPr>
              <w:rPr>
                <w:rFonts w:cs="Arial"/>
                <w:sz w:val="20"/>
                <w:szCs w:val="20"/>
              </w:rPr>
            </w:pPr>
            <w:r>
              <w:rPr>
                <w:rFonts w:cs="Arial"/>
                <w:sz w:val="20"/>
                <w:szCs w:val="20"/>
              </w:rPr>
              <w:t xml:space="preserve">FHT requirement is not </w:t>
            </w:r>
            <w:r w:rsidRPr="00CF23F2">
              <w:rPr>
                <w:rFonts w:cs="Arial"/>
                <w:sz w:val="20"/>
                <w:szCs w:val="20"/>
              </w:rPr>
              <w:t>needed on top of the existing skills and knowledge requirement in Standard 3.2.2</w:t>
            </w:r>
            <w:r>
              <w:rPr>
                <w:rFonts w:cs="Arial"/>
                <w:sz w:val="20"/>
                <w:szCs w:val="20"/>
              </w:rPr>
              <w:t xml:space="preserve">. </w:t>
            </w:r>
          </w:p>
        </w:tc>
        <w:tc>
          <w:tcPr>
            <w:tcW w:w="1463" w:type="dxa"/>
          </w:tcPr>
          <w:p w14:paraId="0E0AB887" w14:textId="77777777" w:rsidR="008962CE" w:rsidRDefault="008962CE" w:rsidP="003A458A">
            <w:pPr>
              <w:rPr>
                <w:rFonts w:cs="Arial"/>
                <w:sz w:val="20"/>
                <w:szCs w:val="20"/>
              </w:rPr>
            </w:pPr>
            <w:r w:rsidRPr="00CF23F2">
              <w:rPr>
                <w:rFonts w:cs="Arial"/>
                <w:sz w:val="20"/>
                <w:szCs w:val="20"/>
              </w:rPr>
              <w:t>local council</w:t>
            </w:r>
          </w:p>
        </w:tc>
        <w:tc>
          <w:tcPr>
            <w:tcW w:w="6799" w:type="dxa"/>
          </w:tcPr>
          <w:p w14:paraId="4C55D5BB" w14:textId="77777777" w:rsidR="008962CE" w:rsidRDefault="008962CE" w:rsidP="003A458A">
            <w:pPr>
              <w:rPr>
                <w:rFonts w:cs="Arial"/>
                <w:sz w:val="20"/>
                <w:szCs w:val="20"/>
              </w:rPr>
            </w:pPr>
            <w:r>
              <w:rPr>
                <w:rFonts w:cs="Arial"/>
                <w:sz w:val="20"/>
                <w:szCs w:val="20"/>
              </w:rPr>
              <w:t xml:space="preserve">FSANZ disagrees. Our assessment of the FHT tool, as set out in this report and the associated DRIS, outlines that the FHT requirement provides an enhancement to the current requirement in St 3.2.2 by mandating </w:t>
            </w:r>
            <w:r w:rsidRPr="00490397">
              <w:rPr>
                <w:rFonts w:cs="Arial"/>
                <w:sz w:val="20"/>
                <w:szCs w:val="20"/>
              </w:rPr>
              <w:t>food handler training with specified content</w:t>
            </w:r>
            <w:r>
              <w:rPr>
                <w:rFonts w:cs="Arial"/>
                <w:sz w:val="20"/>
                <w:szCs w:val="20"/>
              </w:rPr>
              <w:t xml:space="preserve">. The requirement provides for recognition of prior learning, or on the job training if the food handler can demonstrate skills and knowledge in the prescribed activity (as defined in the Standard </w:t>
            </w:r>
            <w:r w:rsidRPr="00490397">
              <w:rPr>
                <w:rFonts w:cs="Arial"/>
                <w:sz w:val="20"/>
                <w:szCs w:val="20"/>
              </w:rPr>
              <w:t>3.2.2A—5</w:t>
            </w:r>
            <w:r>
              <w:rPr>
                <w:rFonts w:cs="Arial"/>
                <w:sz w:val="20"/>
                <w:szCs w:val="20"/>
              </w:rPr>
              <w:t xml:space="preserve">). </w:t>
            </w:r>
          </w:p>
        </w:tc>
      </w:tr>
      <w:tr w:rsidR="008962CE" w14:paraId="1EF18AA3" w14:textId="77777777" w:rsidTr="00FD5F2E">
        <w:tc>
          <w:tcPr>
            <w:tcW w:w="6475" w:type="dxa"/>
          </w:tcPr>
          <w:p w14:paraId="230B7825" w14:textId="6019DA88" w:rsidR="008962CE" w:rsidRDefault="008962CE" w:rsidP="003A458A">
            <w:pPr>
              <w:rPr>
                <w:rFonts w:cs="Arial"/>
                <w:sz w:val="20"/>
                <w:szCs w:val="20"/>
              </w:rPr>
            </w:pPr>
            <w:r w:rsidRPr="58A14E8B">
              <w:rPr>
                <w:rFonts w:cs="Arial"/>
                <w:sz w:val="20"/>
                <w:szCs w:val="20"/>
              </w:rPr>
              <w:t>FHT should be required for all food handlers including category 3 businesses.</w:t>
            </w:r>
          </w:p>
        </w:tc>
        <w:tc>
          <w:tcPr>
            <w:tcW w:w="1463" w:type="dxa"/>
          </w:tcPr>
          <w:p w14:paraId="0A0CDA98" w14:textId="77777777" w:rsidR="008962CE" w:rsidRDefault="008962CE" w:rsidP="003A458A">
            <w:pPr>
              <w:rPr>
                <w:rFonts w:cs="Arial"/>
                <w:sz w:val="20"/>
                <w:szCs w:val="20"/>
              </w:rPr>
            </w:pPr>
            <w:r w:rsidRPr="58A14E8B">
              <w:rPr>
                <w:rFonts w:cs="Arial"/>
                <w:sz w:val="20"/>
                <w:szCs w:val="20"/>
              </w:rPr>
              <w:t>local council</w:t>
            </w:r>
          </w:p>
          <w:p w14:paraId="2A2AA0B5" w14:textId="77777777" w:rsidR="008962CE" w:rsidRDefault="008962CE" w:rsidP="003A458A">
            <w:pPr>
              <w:rPr>
                <w:rFonts w:cs="Arial"/>
                <w:sz w:val="20"/>
                <w:szCs w:val="20"/>
              </w:rPr>
            </w:pPr>
          </w:p>
        </w:tc>
        <w:tc>
          <w:tcPr>
            <w:tcW w:w="6799" w:type="dxa"/>
          </w:tcPr>
          <w:p w14:paraId="59A16020" w14:textId="15FCE970" w:rsidR="008962CE" w:rsidRDefault="008962CE" w:rsidP="003A458A">
            <w:pPr>
              <w:rPr>
                <w:rFonts w:cs="Arial"/>
                <w:sz w:val="20"/>
                <w:szCs w:val="20"/>
              </w:rPr>
            </w:pPr>
            <w:r w:rsidRPr="58A14E8B">
              <w:rPr>
                <w:rFonts w:cs="Arial"/>
                <w:sz w:val="20"/>
                <w:szCs w:val="20"/>
              </w:rPr>
              <w:t xml:space="preserve">FSANZ assessment, including the RIS, does not support the application of regulatory tools to category 3 businesses (see </w:t>
            </w:r>
            <w:r>
              <w:rPr>
                <w:rFonts w:cs="Arial"/>
                <w:sz w:val="20"/>
                <w:szCs w:val="20"/>
              </w:rPr>
              <w:t>DRIS</w:t>
            </w:r>
            <w:r w:rsidRPr="58A14E8B">
              <w:rPr>
                <w:rFonts w:cs="Arial"/>
                <w:sz w:val="20"/>
                <w:szCs w:val="20"/>
              </w:rPr>
              <w:t>).</w:t>
            </w:r>
          </w:p>
        </w:tc>
      </w:tr>
      <w:tr w:rsidR="008962CE" w14:paraId="71AC54BB" w14:textId="77777777" w:rsidTr="00FD5F2E">
        <w:tc>
          <w:tcPr>
            <w:tcW w:w="6475" w:type="dxa"/>
          </w:tcPr>
          <w:p w14:paraId="10C2BCC4" w14:textId="5726ACE9" w:rsidR="008962CE" w:rsidRDefault="008962CE" w:rsidP="003A458A">
            <w:pPr>
              <w:rPr>
                <w:rFonts w:cs="Arial"/>
                <w:sz w:val="20"/>
                <w:szCs w:val="20"/>
              </w:rPr>
            </w:pPr>
            <w:r w:rsidRPr="58A14E8B">
              <w:rPr>
                <w:rFonts w:cs="Arial"/>
                <w:sz w:val="20"/>
                <w:szCs w:val="20"/>
              </w:rPr>
              <w:t>FSANZ should consider creating a non-profit organisation category to require FHT (i.e. remove exemption for at least some), since the risk is same as other food businesses.</w:t>
            </w:r>
          </w:p>
        </w:tc>
        <w:tc>
          <w:tcPr>
            <w:tcW w:w="1463" w:type="dxa"/>
          </w:tcPr>
          <w:p w14:paraId="19D06CEB" w14:textId="77777777" w:rsidR="008962CE" w:rsidRDefault="008962CE" w:rsidP="003A458A">
            <w:pPr>
              <w:rPr>
                <w:rFonts w:cs="Arial"/>
                <w:sz w:val="20"/>
                <w:szCs w:val="20"/>
              </w:rPr>
            </w:pPr>
            <w:r w:rsidRPr="58A14E8B">
              <w:rPr>
                <w:rFonts w:cs="Arial"/>
                <w:sz w:val="20"/>
                <w:szCs w:val="20"/>
              </w:rPr>
              <w:t>local council</w:t>
            </w:r>
          </w:p>
          <w:p w14:paraId="6BEF324F" w14:textId="77777777" w:rsidR="008962CE" w:rsidRDefault="008962CE" w:rsidP="003A458A">
            <w:pPr>
              <w:rPr>
                <w:rFonts w:cs="Arial"/>
                <w:sz w:val="20"/>
                <w:szCs w:val="20"/>
              </w:rPr>
            </w:pPr>
          </w:p>
        </w:tc>
        <w:tc>
          <w:tcPr>
            <w:tcW w:w="6799" w:type="dxa"/>
          </w:tcPr>
          <w:p w14:paraId="45448B99" w14:textId="3FDA8748" w:rsidR="008962CE" w:rsidRDefault="008962CE" w:rsidP="003A458A">
            <w:pPr>
              <w:rPr>
                <w:rFonts w:cs="Arial"/>
                <w:sz w:val="20"/>
                <w:szCs w:val="20"/>
              </w:rPr>
            </w:pPr>
            <w:r w:rsidRPr="58A14E8B">
              <w:rPr>
                <w:rFonts w:cs="Arial"/>
                <w:sz w:val="20"/>
                <w:szCs w:val="20"/>
              </w:rPr>
              <w:t xml:space="preserve">There is no exemption in the proposed Standard </w:t>
            </w:r>
            <w:r>
              <w:rPr>
                <w:rFonts w:cs="Arial"/>
                <w:sz w:val="20"/>
                <w:szCs w:val="20"/>
              </w:rPr>
              <w:t xml:space="preserve">3.2.2A </w:t>
            </w:r>
            <w:r w:rsidRPr="58A14E8B">
              <w:rPr>
                <w:rFonts w:cs="Arial"/>
                <w:sz w:val="20"/>
                <w:szCs w:val="20"/>
              </w:rPr>
              <w:t>for not-for-profit entities. The application of regulatory measures to not-for-profit entities is within the remit of the relevant state/territory Food Act.</w:t>
            </w:r>
          </w:p>
        </w:tc>
      </w:tr>
      <w:tr w:rsidR="008962CE" w14:paraId="6C531AEB" w14:textId="77777777" w:rsidTr="00FD5F2E">
        <w:tc>
          <w:tcPr>
            <w:tcW w:w="6475" w:type="dxa"/>
          </w:tcPr>
          <w:p w14:paraId="288666DB" w14:textId="77777777" w:rsidR="008962CE" w:rsidRDefault="008962CE" w:rsidP="003A458A">
            <w:pPr>
              <w:rPr>
                <w:rFonts w:cs="Arial"/>
                <w:sz w:val="20"/>
                <w:szCs w:val="20"/>
              </w:rPr>
            </w:pPr>
            <w:r w:rsidRPr="58A14E8B">
              <w:rPr>
                <w:rFonts w:cs="Arial"/>
                <w:sz w:val="20"/>
                <w:szCs w:val="20"/>
              </w:rPr>
              <w:t>FHT should have a defined period and refresher training required to maintain skills and knowledge e.g. every 12 months/ based on need (e.g. new FH activities); and food handlers should not be obligated to requalify if they have already completed FHT in last 12 months</w:t>
            </w:r>
          </w:p>
          <w:p w14:paraId="4724A4CB" w14:textId="77777777" w:rsidR="008962CE" w:rsidRDefault="008962CE" w:rsidP="003A458A">
            <w:pPr>
              <w:rPr>
                <w:rFonts w:cs="Arial"/>
                <w:sz w:val="20"/>
                <w:szCs w:val="20"/>
              </w:rPr>
            </w:pPr>
          </w:p>
        </w:tc>
        <w:tc>
          <w:tcPr>
            <w:tcW w:w="1463" w:type="dxa"/>
          </w:tcPr>
          <w:p w14:paraId="63D2D34A" w14:textId="77777777" w:rsidR="008962CE" w:rsidRDefault="008962CE" w:rsidP="003A458A">
            <w:pPr>
              <w:rPr>
                <w:rFonts w:cs="Arial"/>
                <w:sz w:val="20"/>
                <w:szCs w:val="20"/>
              </w:rPr>
            </w:pPr>
            <w:r w:rsidRPr="58A14E8B">
              <w:rPr>
                <w:rFonts w:cs="Arial"/>
                <w:sz w:val="20"/>
                <w:szCs w:val="20"/>
              </w:rPr>
              <w:t>state/territory government, local council, service provider</w:t>
            </w:r>
          </w:p>
          <w:p w14:paraId="2A00AC07" w14:textId="77777777" w:rsidR="008962CE" w:rsidRDefault="008962CE" w:rsidP="003A458A">
            <w:pPr>
              <w:rPr>
                <w:rFonts w:cs="Arial"/>
                <w:sz w:val="20"/>
                <w:szCs w:val="20"/>
              </w:rPr>
            </w:pPr>
          </w:p>
        </w:tc>
        <w:tc>
          <w:tcPr>
            <w:tcW w:w="6799" w:type="dxa"/>
          </w:tcPr>
          <w:p w14:paraId="76D462D4" w14:textId="77777777" w:rsidR="008962CE" w:rsidRDefault="008962CE" w:rsidP="003A458A">
            <w:pPr>
              <w:rPr>
                <w:rFonts w:cs="Arial"/>
                <w:sz w:val="20"/>
                <w:szCs w:val="20"/>
              </w:rPr>
            </w:pPr>
            <w:r w:rsidRPr="58A14E8B">
              <w:rPr>
                <w:rFonts w:cs="Arial"/>
                <w:sz w:val="20"/>
                <w:szCs w:val="20"/>
              </w:rPr>
              <w:t xml:space="preserve">FSANZ </w:t>
            </w:r>
            <w:r>
              <w:rPr>
                <w:rFonts w:cs="Arial"/>
                <w:sz w:val="20"/>
                <w:szCs w:val="20"/>
              </w:rPr>
              <w:t xml:space="preserve">assessment is for </w:t>
            </w:r>
            <w:r w:rsidRPr="58A14E8B">
              <w:rPr>
                <w:rFonts w:cs="Arial"/>
                <w:sz w:val="20"/>
                <w:szCs w:val="20"/>
              </w:rPr>
              <w:t xml:space="preserve">FHT training </w:t>
            </w:r>
            <w:r>
              <w:rPr>
                <w:rFonts w:cs="Arial"/>
                <w:sz w:val="20"/>
                <w:szCs w:val="20"/>
              </w:rPr>
              <w:t xml:space="preserve">to </w:t>
            </w:r>
            <w:r w:rsidRPr="58A14E8B">
              <w:rPr>
                <w:rFonts w:cs="Arial"/>
                <w:sz w:val="20"/>
                <w:szCs w:val="20"/>
              </w:rPr>
              <w:t>be completed before engaging in a prescribed activity – meaning the handling of unpackaged potentially hazardous food as described in (3.2.2A – 5).</w:t>
            </w:r>
          </w:p>
          <w:p w14:paraId="4CE05A7F" w14:textId="77777777" w:rsidR="008962CE" w:rsidRDefault="008962CE" w:rsidP="003A458A">
            <w:pPr>
              <w:rPr>
                <w:rFonts w:cs="Arial"/>
                <w:sz w:val="20"/>
                <w:szCs w:val="20"/>
              </w:rPr>
            </w:pPr>
          </w:p>
          <w:p w14:paraId="57BF98BB" w14:textId="50D13790" w:rsidR="008962CE" w:rsidRDefault="008962CE" w:rsidP="003A458A">
            <w:pPr>
              <w:rPr>
                <w:rFonts w:cs="Arial"/>
                <w:sz w:val="20"/>
                <w:szCs w:val="20"/>
              </w:rPr>
            </w:pPr>
            <w:r w:rsidRPr="58A14E8B">
              <w:rPr>
                <w:rFonts w:cs="Arial"/>
                <w:sz w:val="20"/>
                <w:szCs w:val="20"/>
              </w:rPr>
              <w:t>Non-regulatory tools that support the standard, including food safety culture initiatives, will promote ongoing maintenance of food handler skills and knowledge</w:t>
            </w:r>
          </w:p>
        </w:tc>
      </w:tr>
      <w:tr w:rsidR="008962CE" w14:paraId="731394D9" w14:textId="77777777" w:rsidTr="00FD5F2E">
        <w:tc>
          <w:tcPr>
            <w:tcW w:w="6475" w:type="dxa"/>
          </w:tcPr>
          <w:p w14:paraId="4B3C932B" w14:textId="77777777" w:rsidR="008962CE" w:rsidRDefault="008962CE" w:rsidP="003A458A">
            <w:pPr>
              <w:rPr>
                <w:rFonts w:cs="Arial"/>
                <w:sz w:val="20"/>
                <w:szCs w:val="20"/>
              </w:rPr>
            </w:pPr>
            <w:r w:rsidRPr="58A14E8B">
              <w:rPr>
                <w:rFonts w:cs="Arial"/>
                <w:sz w:val="20"/>
                <w:szCs w:val="20"/>
              </w:rPr>
              <w:t>There should be a training requirement for business owners/managers.</w:t>
            </w:r>
          </w:p>
          <w:p w14:paraId="6DE6C4BD" w14:textId="77777777" w:rsidR="008962CE" w:rsidRDefault="008962CE" w:rsidP="003A458A">
            <w:pPr>
              <w:rPr>
                <w:rFonts w:cs="Arial"/>
                <w:sz w:val="20"/>
                <w:szCs w:val="20"/>
              </w:rPr>
            </w:pPr>
          </w:p>
        </w:tc>
        <w:tc>
          <w:tcPr>
            <w:tcW w:w="1463" w:type="dxa"/>
          </w:tcPr>
          <w:p w14:paraId="49168AFC" w14:textId="77777777" w:rsidR="008962CE" w:rsidRDefault="008962CE" w:rsidP="003A458A">
            <w:pPr>
              <w:rPr>
                <w:rFonts w:cs="Arial"/>
                <w:sz w:val="20"/>
                <w:szCs w:val="20"/>
              </w:rPr>
            </w:pPr>
            <w:r w:rsidRPr="58A14E8B">
              <w:rPr>
                <w:rFonts w:cs="Arial"/>
                <w:sz w:val="20"/>
                <w:szCs w:val="20"/>
              </w:rPr>
              <w:t>service provider</w:t>
            </w:r>
          </w:p>
        </w:tc>
        <w:tc>
          <w:tcPr>
            <w:tcW w:w="6799" w:type="dxa"/>
          </w:tcPr>
          <w:p w14:paraId="7B1F191E" w14:textId="348103EE" w:rsidR="008962CE" w:rsidRDefault="008962CE" w:rsidP="003A458A">
            <w:pPr>
              <w:rPr>
                <w:rFonts w:cs="Arial"/>
                <w:sz w:val="20"/>
                <w:szCs w:val="20"/>
              </w:rPr>
            </w:pPr>
            <w:r w:rsidRPr="58A14E8B">
              <w:rPr>
                <w:rFonts w:cs="Arial"/>
                <w:sz w:val="20"/>
                <w:szCs w:val="20"/>
              </w:rPr>
              <w:t xml:space="preserve">The standard proposes skills and knowledge/training requirements for food handlers. FSANZ anticipates that the non-regulatory tools that support this proposal, such as food safety culture initiatives in the food </w:t>
            </w:r>
            <w:r w:rsidRPr="58A14E8B">
              <w:rPr>
                <w:rFonts w:cs="Arial"/>
                <w:sz w:val="20"/>
                <w:szCs w:val="20"/>
              </w:rPr>
              <w:lastRenderedPageBreak/>
              <w:t>regulatory system, would be aimed at business owners /managers.</w:t>
            </w:r>
          </w:p>
        </w:tc>
      </w:tr>
      <w:tr w:rsidR="008962CE" w14:paraId="4F6B5606" w14:textId="77777777" w:rsidTr="00FD5F2E">
        <w:tc>
          <w:tcPr>
            <w:tcW w:w="6475" w:type="dxa"/>
          </w:tcPr>
          <w:p w14:paraId="51424570" w14:textId="3B99DCBD" w:rsidR="008962CE" w:rsidRDefault="008962CE" w:rsidP="003A458A">
            <w:pPr>
              <w:rPr>
                <w:rFonts w:cs="Arial"/>
                <w:sz w:val="20"/>
                <w:szCs w:val="20"/>
              </w:rPr>
            </w:pPr>
            <w:r w:rsidRPr="58A14E8B">
              <w:rPr>
                <w:rFonts w:cs="Arial"/>
                <w:sz w:val="20"/>
                <w:szCs w:val="20"/>
              </w:rPr>
              <w:lastRenderedPageBreak/>
              <w:t xml:space="preserve">Consider </w:t>
            </w:r>
            <w:r w:rsidR="0076382D">
              <w:rPr>
                <w:rFonts w:cs="Arial"/>
                <w:sz w:val="20"/>
                <w:szCs w:val="20"/>
              </w:rPr>
              <w:t xml:space="preserve">requiring </w:t>
            </w:r>
            <w:r w:rsidRPr="58A14E8B">
              <w:rPr>
                <w:rFonts w:cs="Arial"/>
                <w:sz w:val="20"/>
                <w:szCs w:val="20"/>
              </w:rPr>
              <w:t xml:space="preserve">FSS or FHT </w:t>
            </w:r>
            <w:r w:rsidR="0076382D">
              <w:rPr>
                <w:rFonts w:cs="Arial"/>
                <w:sz w:val="20"/>
                <w:szCs w:val="20"/>
              </w:rPr>
              <w:t xml:space="preserve">training </w:t>
            </w:r>
            <w:r w:rsidRPr="58A14E8B">
              <w:rPr>
                <w:rFonts w:cs="Arial"/>
                <w:sz w:val="20"/>
                <w:szCs w:val="20"/>
              </w:rPr>
              <w:t>on record keeping requirements.</w:t>
            </w:r>
          </w:p>
          <w:p w14:paraId="766EB639" w14:textId="77777777" w:rsidR="008962CE" w:rsidRDefault="008962CE" w:rsidP="003A458A">
            <w:pPr>
              <w:rPr>
                <w:rFonts w:cs="Arial"/>
                <w:sz w:val="20"/>
                <w:szCs w:val="20"/>
              </w:rPr>
            </w:pPr>
          </w:p>
        </w:tc>
        <w:tc>
          <w:tcPr>
            <w:tcW w:w="1463" w:type="dxa"/>
          </w:tcPr>
          <w:p w14:paraId="10518F10" w14:textId="77777777" w:rsidR="008962CE" w:rsidRDefault="008962CE" w:rsidP="003A458A">
            <w:pPr>
              <w:rPr>
                <w:rFonts w:cs="Arial"/>
                <w:sz w:val="20"/>
                <w:szCs w:val="20"/>
              </w:rPr>
            </w:pPr>
            <w:r w:rsidRPr="58A14E8B">
              <w:rPr>
                <w:rFonts w:cs="Arial"/>
                <w:sz w:val="20"/>
                <w:szCs w:val="20"/>
              </w:rPr>
              <w:t>local council</w:t>
            </w:r>
          </w:p>
          <w:p w14:paraId="23EA1116" w14:textId="77777777" w:rsidR="008962CE" w:rsidRDefault="008962CE" w:rsidP="003A458A">
            <w:pPr>
              <w:rPr>
                <w:rFonts w:cs="Arial"/>
                <w:sz w:val="20"/>
                <w:szCs w:val="20"/>
              </w:rPr>
            </w:pPr>
          </w:p>
        </w:tc>
        <w:tc>
          <w:tcPr>
            <w:tcW w:w="6799" w:type="dxa"/>
          </w:tcPr>
          <w:p w14:paraId="027B4DFB" w14:textId="51B55DD6" w:rsidR="008962CE" w:rsidRDefault="008962CE" w:rsidP="003A458A">
            <w:pPr>
              <w:rPr>
                <w:rFonts w:cs="Arial"/>
                <w:sz w:val="20"/>
                <w:szCs w:val="20"/>
              </w:rPr>
            </w:pPr>
            <w:r w:rsidRPr="58A14E8B">
              <w:rPr>
                <w:rFonts w:cs="Arial"/>
                <w:sz w:val="20"/>
                <w:szCs w:val="20"/>
              </w:rPr>
              <w:t>FSANZ considers this is a business operational matter. However, guidance will be available to support the regulatory tools proposed in Standard 3.2.2A</w:t>
            </w:r>
          </w:p>
        </w:tc>
      </w:tr>
      <w:tr w:rsidR="008962CE" w:rsidRPr="00CF23F2" w14:paraId="074A3CFE" w14:textId="77777777" w:rsidTr="00FD5F2E">
        <w:tc>
          <w:tcPr>
            <w:tcW w:w="6475" w:type="dxa"/>
          </w:tcPr>
          <w:p w14:paraId="63CFF4BA" w14:textId="77777777" w:rsidR="008962CE" w:rsidRDefault="008962CE" w:rsidP="003A458A">
            <w:pPr>
              <w:rPr>
                <w:rFonts w:cs="Arial"/>
                <w:sz w:val="20"/>
                <w:szCs w:val="20"/>
              </w:rPr>
            </w:pPr>
            <w:r w:rsidRPr="00CF23F2">
              <w:rPr>
                <w:rFonts w:cs="Arial"/>
                <w:sz w:val="20"/>
                <w:szCs w:val="20"/>
              </w:rPr>
              <w:t xml:space="preserve">Adding </w:t>
            </w:r>
            <w:r>
              <w:rPr>
                <w:rFonts w:cs="Arial"/>
                <w:sz w:val="20"/>
                <w:szCs w:val="20"/>
              </w:rPr>
              <w:t>further</w:t>
            </w:r>
            <w:r w:rsidRPr="00CF23F2">
              <w:rPr>
                <w:rFonts w:cs="Arial"/>
                <w:sz w:val="20"/>
                <w:szCs w:val="20"/>
              </w:rPr>
              <w:t xml:space="preserve"> documentation and compliance requirements is </w:t>
            </w:r>
            <w:r>
              <w:rPr>
                <w:rFonts w:cs="Arial"/>
                <w:sz w:val="20"/>
                <w:szCs w:val="20"/>
              </w:rPr>
              <w:t>un</w:t>
            </w:r>
            <w:r w:rsidRPr="00CF23F2">
              <w:rPr>
                <w:rFonts w:cs="Arial"/>
                <w:sz w:val="20"/>
                <w:szCs w:val="20"/>
              </w:rPr>
              <w:t xml:space="preserve">likely to improve food safety in </w:t>
            </w:r>
            <w:r>
              <w:rPr>
                <w:rFonts w:cs="Arial"/>
                <w:sz w:val="20"/>
                <w:szCs w:val="20"/>
              </w:rPr>
              <w:t>some</w:t>
            </w:r>
            <w:r w:rsidRPr="00CF23F2">
              <w:rPr>
                <w:rFonts w:cs="Arial"/>
                <w:sz w:val="20"/>
                <w:szCs w:val="20"/>
              </w:rPr>
              <w:t xml:space="preserve"> businesses</w:t>
            </w:r>
            <w:r>
              <w:rPr>
                <w:rFonts w:cs="Arial"/>
                <w:sz w:val="20"/>
                <w:szCs w:val="20"/>
              </w:rPr>
              <w:t>;</w:t>
            </w:r>
            <w:r w:rsidRPr="00CF23F2">
              <w:rPr>
                <w:rFonts w:cs="Arial"/>
                <w:sz w:val="20"/>
                <w:szCs w:val="20"/>
              </w:rPr>
              <w:t xml:space="preserve"> without investing further effort in supporting initiatives to improve the</w:t>
            </w:r>
            <w:r>
              <w:rPr>
                <w:rFonts w:cs="Arial"/>
                <w:sz w:val="20"/>
                <w:szCs w:val="20"/>
              </w:rPr>
              <w:t>ir</w:t>
            </w:r>
            <w:r w:rsidRPr="00CF23F2">
              <w:rPr>
                <w:rFonts w:cs="Arial"/>
                <w:sz w:val="20"/>
                <w:szCs w:val="20"/>
              </w:rPr>
              <w:t xml:space="preserve"> awareness and </w:t>
            </w:r>
            <w:r>
              <w:rPr>
                <w:rFonts w:cs="Arial"/>
                <w:sz w:val="20"/>
                <w:szCs w:val="20"/>
              </w:rPr>
              <w:t>commitment</w:t>
            </w:r>
            <w:r w:rsidRPr="00CF23F2">
              <w:rPr>
                <w:rFonts w:cs="Arial"/>
                <w:sz w:val="20"/>
                <w:szCs w:val="20"/>
              </w:rPr>
              <w:t xml:space="preserve"> to improving food safety practices</w:t>
            </w:r>
            <w:r>
              <w:rPr>
                <w:rFonts w:cs="Arial"/>
                <w:sz w:val="20"/>
                <w:szCs w:val="20"/>
              </w:rPr>
              <w:t>.</w:t>
            </w:r>
          </w:p>
        </w:tc>
        <w:tc>
          <w:tcPr>
            <w:tcW w:w="1463" w:type="dxa"/>
          </w:tcPr>
          <w:p w14:paraId="3BEC7E87"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7ABEDDA7" w14:textId="73DB3F8E" w:rsidR="008962CE" w:rsidRDefault="008962CE" w:rsidP="00706F8E">
            <w:pPr>
              <w:rPr>
                <w:rFonts w:cs="Arial"/>
                <w:sz w:val="20"/>
                <w:szCs w:val="20"/>
              </w:rPr>
            </w:pPr>
            <w:r>
              <w:rPr>
                <w:rFonts w:cs="Arial"/>
                <w:sz w:val="20"/>
                <w:szCs w:val="20"/>
              </w:rPr>
              <w:t xml:space="preserve">The proposed package of tools includes both regulatory and non-regulatory measures. </w:t>
            </w:r>
            <w:r w:rsidR="00706F8E">
              <w:rPr>
                <w:rFonts w:cs="Arial"/>
                <w:sz w:val="20"/>
                <w:szCs w:val="20"/>
              </w:rPr>
              <w:t xml:space="preserve">Based on its own assessment, </w:t>
            </w:r>
            <w:r>
              <w:rPr>
                <w:rFonts w:cs="Arial"/>
                <w:sz w:val="20"/>
                <w:szCs w:val="20"/>
              </w:rPr>
              <w:t>FSANZ agrees with Ministers proposal that this would provide the most impact on reducing foodborne illness in these sectors.</w:t>
            </w:r>
            <w:r w:rsidR="00BA403F">
              <w:rPr>
                <w:rFonts w:cs="Arial"/>
                <w:sz w:val="20"/>
                <w:szCs w:val="20"/>
              </w:rPr>
              <w:t xml:space="preserve"> </w:t>
            </w:r>
            <w:r w:rsidR="00B66010">
              <w:rPr>
                <w:rFonts w:cs="Arial"/>
                <w:sz w:val="20"/>
                <w:szCs w:val="20"/>
              </w:rPr>
              <w:t>FSANZ is committed to working collaboratively with the ISFR IWG to develop guidance to support the Standard, including updating Safe Food Australia.</w:t>
            </w:r>
          </w:p>
        </w:tc>
      </w:tr>
      <w:tr w:rsidR="008962CE" w:rsidRPr="00CF23F2" w14:paraId="15CE2C79" w14:textId="77777777" w:rsidTr="00FD5F2E">
        <w:tc>
          <w:tcPr>
            <w:tcW w:w="6475" w:type="dxa"/>
          </w:tcPr>
          <w:p w14:paraId="46129059" w14:textId="77777777" w:rsidR="008962CE" w:rsidRPr="00CF23F2" w:rsidRDefault="008962CE" w:rsidP="003A458A">
            <w:pPr>
              <w:rPr>
                <w:rFonts w:cs="Arial"/>
                <w:sz w:val="20"/>
                <w:szCs w:val="20"/>
              </w:rPr>
            </w:pPr>
            <w:r w:rsidRPr="00CF23F2">
              <w:rPr>
                <w:rFonts w:cs="Arial"/>
                <w:sz w:val="20"/>
                <w:szCs w:val="20"/>
              </w:rPr>
              <w:t xml:space="preserve">Concerned with the </w:t>
            </w:r>
            <w:r>
              <w:rPr>
                <w:rFonts w:cs="Arial"/>
                <w:sz w:val="20"/>
                <w:szCs w:val="20"/>
              </w:rPr>
              <w:t xml:space="preserve">E requirement </w:t>
            </w:r>
            <w:r w:rsidRPr="00CF23F2">
              <w:rPr>
                <w:rFonts w:cs="Arial"/>
                <w:sz w:val="20"/>
                <w:szCs w:val="20"/>
              </w:rPr>
              <w:t xml:space="preserve">clause </w:t>
            </w:r>
            <w:r>
              <w:rPr>
                <w:rFonts w:cs="Arial"/>
                <w:sz w:val="20"/>
                <w:szCs w:val="20"/>
              </w:rPr>
              <w:t>allowing</w:t>
            </w:r>
            <w:r w:rsidRPr="00CF23F2">
              <w:rPr>
                <w:rFonts w:cs="Arial"/>
                <w:sz w:val="20"/>
                <w:szCs w:val="20"/>
              </w:rPr>
              <w:t xml:space="preserve"> a business to ‘demonstrate an activity’ </w:t>
            </w:r>
            <w:r>
              <w:rPr>
                <w:rFonts w:cs="Arial"/>
                <w:sz w:val="20"/>
                <w:szCs w:val="20"/>
              </w:rPr>
              <w:t>(which is already in</w:t>
            </w:r>
            <w:r w:rsidRPr="00CF23F2">
              <w:rPr>
                <w:rFonts w:cs="Arial"/>
                <w:sz w:val="20"/>
                <w:szCs w:val="20"/>
              </w:rPr>
              <w:t xml:space="preserve"> St</w:t>
            </w:r>
            <w:r>
              <w:rPr>
                <w:rFonts w:cs="Arial"/>
                <w:sz w:val="20"/>
                <w:szCs w:val="20"/>
              </w:rPr>
              <w:t>andar</w:t>
            </w:r>
            <w:r w:rsidRPr="00CF23F2">
              <w:rPr>
                <w:rFonts w:cs="Arial"/>
                <w:sz w:val="20"/>
                <w:szCs w:val="20"/>
              </w:rPr>
              <w:t>d 3.2.2</w:t>
            </w:r>
            <w:r>
              <w:rPr>
                <w:rFonts w:cs="Arial"/>
                <w:sz w:val="20"/>
                <w:szCs w:val="20"/>
              </w:rPr>
              <w:t xml:space="preserve">), </w:t>
            </w:r>
            <w:r w:rsidRPr="00CF23F2">
              <w:rPr>
                <w:rFonts w:cs="Arial"/>
                <w:sz w:val="20"/>
                <w:szCs w:val="20"/>
              </w:rPr>
              <w:t xml:space="preserve">rather than show documented evidence. If the intent is to allow businesses </w:t>
            </w:r>
            <w:r>
              <w:rPr>
                <w:rFonts w:cs="Arial"/>
                <w:sz w:val="20"/>
                <w:szCs w:val="20"/>
              </w:rPr>
              <w:t>to</w:t>
            </w:r>
            <w:r w:rsidRPr="00CF23F2">
              <w:rPr>
                <w:rFonts w:cs="Arial"/>
                <w:sz w:val="20"/>
                <w:szCs w:val="20"/>
              </w:rPr>
              <w:t xml:space="preserve"> seek approval for an alternative compliance method, the </w:t>
            </w:r>
            <w:r>
              <w:rPr>
                <w:rFonts w:cs="Arial"/>
                <w:sz w:val="20"/>
                <w:szCs w:val="20"/>
              </w:rPr>
              <w:t>standard</w:t>
            </w:r>
            <w:r w:rsidRPr="00CF23F2">
              <w:rPr>
                <w:rFonts w:cs="Arial"/>
                <w:sz w:val="20"/>
                <w:szCs w:val="20"/>
              </w:rPr>
              <w:t xml:space="preserve"> and/or explanatory notes </w:t>
            </w:r>
            <w:r>
              <w:rPr>
                <w:rFonts w:cs="Arial"/>
                <w:sz w:val="20"/>
                <w:szCs w:val="20"/>
              </w:rPr>
              <w:t xml:space="preserve">should </w:t>
            </w:r>
            <w:r w:rsidRPr="00CF23F2">
              <w:rPr>
                <w:rFonts w:cs="Arial"/>
                <w:sz w:val="20"/>
                <w:szCs w:val="20"/>
              </w:rPr>
              <w:t>clear</w:t>
            </w:r>
            <w:r>
              <w:rPr>
                <w:rFonts w:cs="Arial"/>
                <w:sz w:val="20"/>
                <w:szCs w:val="20"/>
              </w:rPr>
              <w:t>ly state</w:t>
            </w:r>
            <w:r w:rsidRPr="00CF23F2">
              <w:rPr>
                <w:rFonts w:cs="Arial"/>
                <w:sz w:val="20"/>
                <w:szCs w:val="20"/>
              </w:rPr>
              <w:t xml:space="preserve"> </w:t>
            </w:r>
            <w:r>
              <w:rPr>
                <w:rFonts w:cs="Arial"/>
                <w:sz w:val="20"/>
                <w:szCs w:val="20"/>
              </w:rPr>
              <w:t xml:space="preserve">to seek </w:t>
            </w:r>
            <w:r w:rsidRPr="00CF23F2">
              <w:rPr>
                <w:rFonts w:cs="Arial"/>
                <w:sz w:val="20"/>
                <w:szCs w:val="20"/>
              </w:rPr>
              <w:t xml:space="preserve">approval </w:t>
            </w:r>
            <w:r w:rsidRPr="00CF23F2">
              <w:rPr>
                <w:rFonts w:cs="Arial"/>
                <w:b/>
                <w:bCs/>
                <w:sz w:val="20"/>
                <w:szCs w:val="20"/>
              </w:rPr>
              <w:t xml:space="preserve">prior </w:t>
            </w:r>
            <w:r w:rsidRPr="00CF23F2">
              <w:rPr>
                <w:rFonts w:cs="Arial"/>
                <w:sz w:val="20"/>
                <w:szCs w:val="20"/>
              </w:rPr>
              <w:t>to implementation. This way</w:t>
            </w:r>
            <w:r>
              <w:rPr>
                <w:rFonts w:cs="Arial"/>
                <w:sz w:val="20"/>
                <w:szCs w:val="20"/>
              </w:rPr>
              <w:t>,</w:t>
            </w:r>
            <w:r w:rsidRPr="00CF23F2">
              <w:rPr>
                <w:rFonts w:cs="Arial"/>
                <w:sz w:val="20"/>
                <w:szCs w:val="20"/>
              </w:rPr>
              <w:t xml:space="preserve"> if the proposed alternative method </w:t>
            </w:r>
            <w:r>
              <w:rPr>
                <w:rFonts w:cs="Arial"/>
                <w:sz w:val="20"/>
                <w:szCs w:val="20"/>
              </w:rPr>
              <w:t>is</w:t>
            </w:r>
            <w:r w:rsidRPr="00CF23F2">
              <w:rPr>
                <w:rFonts w:cs="Arial"/>
                <w:sz w:val="20"/>
                <w:szCs w:val="20"/>
              </w:rPr>
              <w:t xml:space="preserve"> unsatisfactory, the business would not have wasted time and potentially money</w:t>
            </w:r>
            <w:r>
              <w:rPr>
                <w:rFonts w:cs="Arial"/>
                <w:sz w:val="20"/>
                <w:szCs w:val="20"/>
              </w:rPr>
              <w:t>,</w:t>
            </w:r>
            <w:r w:rsidRPr="00CF23F2">
              <w:rPr>
                <w:rFonts w:cs="Arial"/>
                <w:sz w:val="20"/>
                <w:szCs w:val="20"/>
              </w:rPr>
              <w:t xml:space="preserve"> as well as enabling better regulatory control.</w:t>
            </w:r>
          </w:p>
        </w:tc>
        <w:tc>
          <w:tcPr>
            <w:tcW w:w="1463" w:type="dxa"/>
          </w:tcPr>
          <w:p w14:paraId="51388963"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00FB79C1" w14:textId="77777777" w:rsidR="008962CE" w:rsidRDefault="008962CE" w:rsidP="003A458A">
            <w:pPr>
              <w:rPr>
                <w:rFonts w:cs="Arial"/>
                <w:sz w:val="20"/>
                <w:szCs w:val="20"/>
              </w:rPr>
            </w:pPr>
            <w:r>
              <w:rPr>
                <w:rFonts w:cs="Arial"/>
                <w:sz w:val="20"/>
                <w:szCs w:val="20"/>
              </w:rPr>
              <w:t xml:space="preserve">As outlined in Standard 3.2.2A, a record is to be the default. All businesses should be keeping evidence to substantiate their food safety management. </w:t>
            </w:r>
          </w:p>
          <w:p w14:paraId="4A7A8BF9" w14:textId="77777777" w:rsidR="008962CE" w:rsidRDefault="008962CE" w:rsidP="003A458A">
            <w:pPr>
              <w:rPr>
                <w:rFonts w:cs="Arial"/>
                <w:sz w:val="20"/>
                <w:szCs w:val="20"/>
              </w:rPr>
            </w:pPr>
          </w:p>
          <w:p w14:paraId="5A58A566" w14:textId="203BD8E5" w:rsidR="008962CE" w:rsidRDefault="008962CE" w:rsidP="003A458A">
            <w:pPr>
              <w:rPr>
                <w:rFonts w:cs="Arial"/>
                <w:sz w:val="20"/>
                <w:szCs w:val="20"/>
              </w:rPr>
            </w:pPr>
            <w:r>
              <w:rPr>
                <w:rFonts w:cs="Arial"/>
                <w:sz w:val="20"/>
                <w:szCs w:val="20"/>
              </w:rPr>
              <w:t xml:space="preserve">The inclusion of a clause enabling a business to demonstrate an activity, provides for flexibility in the approach only after the process can be demonstrated to the </w:t>
            </w:r>
            <w:r w:rsidR="00706F8E">
              <w:rPr>
                <w:rFonts w:cs="Arial"/>
                <w:sz w:val="20"/>
                <w:szCs w:val="20"/>
              </w:rPr>
              <w:t xml:space="preserve">reasonable </w:t>
            </w:r>
            <w:r>
              <w:rPr>
                <w:rFonts w:cs="Arial"/>
                <w:sz w:val="20"/>
                <w:szCs w:val="20"/>
              </w:rPr>
              <w:t>satisfaction of the authorised officer. Frequency of inspections makes it impractical for all businesses to be able to demonstrate this requirement prior to commencement date.</w:t>
            </w:r>
          </w:p>
        </w:tc>
      </w:tr>
      <w:tr w:rsidR="008962CE" w:rsidRPr="00CF23F2" w14:paraId="3CC7A0B0" w14:textId="77777777" w:rsidTr="00FD5F2E">
        <w:tc>
          <w:tcPr>
            <w:tcW w:w="6475" w:type="dxa"/>
          </w:tcPr>
          <w:p w14:paraId="218CDF72" w14:textId="77777777" w:rsidR="008962CE" w:rsidRDefault="008962CE" w:rsidP="003A458A">
            <w:pPr>
              <w:rPr>
                <w:rFonts w:cs="Arial"/>
                <w:sz w:val="20"/>
                <w:szCs w:val="20"/>
              </w:rPr>
            </w:pPr>
            <w:r w:rsidRPr="00CF23F2">
              <w:rPr>
                <w:rFonts w:cs="Arial"/>
                <w:sz w:val="20"/>
                <w:szCs w:val="20"/>
              </w:rPr>
              <w:t>Businesses are already checking food temperatures on receipt under current requirements, so not sure what is new</w:t>
            </w:r>
            <w:r>
              <w:rPr>
                <w:rFonts w:cs="Arial"/>
                <w:sz w:val="20"/>
                <w:szCs w:val="20"/>
              </w:rPr>
              <w:t xml:space="preserve"> in the E requirement.</w:t>
            </w:r>
          </w:p>
        </w:tc>
        <w:tc>
          <w:tcPr>
            <w:tcW w:w="1463" w:type="dxa"/>
          </w:tcPr>
          <w:p w14:paraId="3464E8D0"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1E444995" w14:textId="02595C6B" w:rsidR="008962CE" w:rsidRDefault="008962CE" w:rsidP="003A458A">
            <w:pPr>
              <w:rPr>
                <w:rFonts w:cs="Arial"/>
                <w:sz w:val="20"/>
                <w:szCs w:val="20"/>
              </w:rPr>
            </w:pPr>
            <w:r>
              <w:rPr>
                <w:rFonts w:cs="Arial"/>
                <w:sz w:val="20"/>
                <w:szCs w:val="20"/>
              </w:rPr>
              <w:t>The new E requirement in Standard 3.2.2A is for evidence to be kept to show that the potentially hazardous food has been handled safety, and where required, corrective action has been taken.</w:t>
            </w:r>
            <w:r w:rsidR="0081747A">
              <w:rPr>
                <w:rFonts w:cs="Arial"/>
                <w:sz w:val="20"/>
                <w:szCs w:val="20"/>
              </w:rPr>
              <w:t xml:space="preserve"> </w:t>
            </w:r>
          </w:p>
        </w:tc>
      </w:tr>
      <w:tr w:rsidR="008962CE" w:rsidRPr="00CF23F2" w14:paraId="6211ED21" w14:textId="77777777" w:rsidTr="00FD5F2E">
        <w:tc>
          <w:tcPr>
            <w:tcW w:w="6475" w:type="dxa"/>
          </w:tcPr>
          <w:p w14:paraId="516C4552" w14:textId="77777777" w:rsidR="008962CE" w:rsidRDefault="008962CE" w:rsidP="003A458A">
            <w:pPr>
              <w:rPr>
                <w:rFonts w:cs="Arial"/>
                <w:sz w:val="20"/>
                <w:szCs w:val="20"/>
              </w:rPr>
            </w:pPr>
            <w:r w:rsidRPr="00CF23F2">
              <w:rPr>
                <w:rFonts w:cs="Arial"/>
                <w:sz w:val="20"/>
                <w:szCs w:val="20"/>
              </w:rPr>
              <w:t xml:space="preserve">While the </w:t>
            </w:r>
            <w:r>
              <w:rPr>
                <w:rFonts w:cs="Arial"/>
                <w:sz w:val="20"/>
                <w:szCs w:val="20"/>
              </w:rPr>
              <w:t xml:space="preserve">E </w:t>
            </w:r>
            <w:r w:rsidRPr="00CF23F2">
              <w:rPr>
                <w:rFonts w:cs="Arial"/>
                <w:sz w:val="20"/>
                <w:szCs w:val="20"/>
              </w:rPr>
              <w:t xml:space="preserve">requirement may be effective for </w:t>
            </w:r>
            <w:r>
              <w:rPr>
                <w:rFonts w:cs="Arial"/>
                <w:sz w:val="20"/>
                <w:szCs w:val="20"/>
              </w:rPr>
              <w:t xml:space="preserve">compliant </w:t>
            </w:r>
            <w:r w:rsidRPr="00CF23F2">
              <w:rPr>
                <w:rFonts w:cs="Arial"/>
                <w:sz w:val="20"/>
                <w:szCs w:val="20"/>
              </w:rPr>
              <w:t>businesses</w:t>
            </w:r>
            <w:r>
              <w:rPr>
                <w:rFonts w:cs="Arial"/>
                <w:sz w:val="20"/>
                <w:szCs w:val="20"/>
              </w:rPr>
              <w:t xml:space="preserve"> and </w:t>
            </w:r>
            <w:r w:rsidRPr="00CF23F2">
              <w:rPr>
                <w:rFonts w:cs="Arial"/>
                <w:sz w:val="20"/>
                <w:szCs w:val="20"/>
              </w:rPr>
              <w:t xml:space="preserve">allow them to focus extra attention </w:t>
            </w:r>
            <w:r>
              <w:rPr>
                <w:rFonts w:cs="Arial"/>
                <w:sz w:val="20"/>
                <w:szCs w:val="20"/>
              </w:rPr>
              <w:t>on</w:t>
            </w:r>
            <w:r w:rsidRPr="00CF23F2">
              <w:rPr>
                <w:rFonts w:cs="Arial"/>
                <w:sz w:val="20"/>
                <w:szCs w:val="20"/>
              </w:rPr>
              <w:t xml:space="preserve"> critical </w:t>
            </w:r>
            <w:r>
              <w:rPr>
                <w:rFonts w:cs="Arial"/>
                <w:sz w:val="20"/>
                <w:szCs w:val="20"/>
              </w:rPr>
              <w:t>risks</w:t>
            </w:r>
            <w:r w:rsidRPr="00CF23F2">
              <w:rPr>
                <w:rFonts w:cs="Arial"/>
                <w:sz w:val="20"/>
                <w:szCs w:val="20"/>
              </w:rPr>
              <w:t xml:space="preserve">, </w:t>
            </w:r>
            <w:r>
              <w:rPr>
                <w:rFonts w:cs="Arial"/>
                <w:sz w:val="20"/>
                <w:szCs w:val="20"/>
              </w:rPr>
              <w:t>businesses</w:t>
            </w:r>
            <w:r w:rsidRPr="00CF23F2">
              <w:rPr>
                <w:rFonts w:cs="Arial"/>
                <w:sz w:val="20"/>
                <w:szCs w:val="20"/>
              </w:rPr>
              <w:t xml:space="preserve"> already</w:t>
            </w:r>
            <w:r>
              <w:rPr>
                <w:rFonts w:cs="Arial"/>
                <w:sz w:val="20"/>
                <w:szCs w:val="20"/>
              </w:rPr>
              <w:t xml:space="preserve"> </w:t>
            </w:r>
            <w:r w:rsidRPr="00CF23F2">
              <w:rPr>
                <w:rFonts w:cs="Arial"/>
                <w:sz w:val="20"/>
                <w:szCs w:val="20"/>
              </w:rPr>
              <w:t xml:space="preserve">struggling to comply may fall further behind. </w:t>
            </w:r>
          </w:p>
        </w:tc>
        <w:tc>
          <w:tcPr>
            <w:tcW w:w="1463" w:type="dxa"/>
          </w:tcPr>
          <w:p w14:paraId="41AC3C45"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079108F9" w14:textId="39784079" w:rsidR="008962CE" w:rsidRDefault="008962CE" w:rsidP="003A458A">
            <w:pPr>
              <w:rPr>
                <w:rFonts w:cs="Arial"/>
                <w:sz w:val="20"/>
                <w:szCs w:val="20"/>
              </w:rPr>
            </w:pPr>
            <w:r>
              <w:rPr>
                <w:rFonts w:cs="Arial"/>
                <w:sz w:val="20"/>
                <w:szCs w:val="20"/>
              </w:rPr>
              <w:t>FSANZ assessment</w:t>
            </w:r>
            <w:r w:rsidR="00706F8E">
              <w:rPr>
                <w:rFonts w:cs="Arial"/>
                <w:sz w:val="20"/>
                <w:szCs w:val="20"/>
              </w:rPr>
              <w:t xml:space="preserve"> </w:t>
            </w:r>
            <w:r w:rsidR="00706F8E" w:rsidRPr="58A14E8B">
              <w:rPr>
                <w:rFonts w:cs="Arial"/>
                <w:sz w:val="20"/>
                <w:szCs w:val="20"/>
              </w:rPr>
              <w:t xml:space="preserve">(outlined in the DRIS) </w:t>
            </w:r>
            <w:r>
              <w:rPr>
                <w:rFonts w:cs="Arial"/>
                <w:sz w:val="20"/>
                <w:szCs w:val="20"/>
              </w:rPr>
              <w:t xml:space="preserve"> is that foodborne illness attributed to this sector</w:t>
            </w:r>
            <w:r w:rsidR="008C3E07">
              <w:rPr>
                <w:rFonts w:cs="Arial"/>
                <w:sz w:val="20"/>
                <w:szCs w:val="20"/>
              </w:rPr>
              <w:t xml:space="preserve"> and food handling activity</w:t>
            </w:r>
            <w:r>
              <w:rPr>
                <w:rFonts w:cs="Arial"/>
                <w:sz w:val="20"/>
                <w:szCs w:val="20"/>
              </w:rPr>
              <w:t xml:space="preserve"> provides an unacceptable risk to the community and requires regulatory intervention. </w:t>
            </w:r>
          </w:p>
        </w:tc>
      </w:tr>
      <w:tr w:rsidR="008962CE" w14:paraId="21AF6C9F" w14:textId="77777777" w:rsidTr="00FD5F2E">
        <w:tc>
          <w:tcPr>
            <w:tcW w:w="6475" w:type="dxa"/>
          </w:tcPr>
          <w:p w14:paraId="64C2FF6D" w14:textId="77777777" w:rsidR="008962CE" w:rsidRDefault="008962CE" w:rsidP="003A458A">
            <w:pPr>
              <w:rPr>
                <w:rFonts w:cs="Arial"/>
                <w:sz w:val="20"/>
                <w:szCs w:val="20"/>
              </w:rPr>
            </w:pPr>
            <w:r w:rsidRPr="58A14E8B">
              <w:rPr>
                <w:rFonts w:cs="Arial"/>
                <w:sz w:val="20"/>
                <w:szCs w:val="20"/>
              </w:rPr>
              <w:t xml:space="preserve">Evidence keeping should be extended to: </w:t>
            </w:r>
          </w:p>
          <w:p w14:paraId="27CDDCC7" w14:textId="77777777" w:rsidR="008962CE" w:rsidRDefault="008962CE" w:rsidP="00614AF5">
            <w:pPr>
              <w:pStyle w:val="ListParagraph"/>
              <w:numPr>
                <w:ilvl w:val="0"/>
                <w:numId w:val="28"/>
              </w:numPr>
              <w:rPr>
                <w:rFonts w:cs="Arial"/>
                <w:sz w:val="20"/>
                <w:szCs w:val="20"/>
              </w:rPr>
            </w:pPr>
            <w:r w:rsidRPr="58A14E8B">
              <w:rPr>
                <w:rFonts w:cs="Arial"/>
                <w:sz w:val="20"/>
                <w:szCs w:val="20"/>
              </w:rPr>
              <w:t>pest control</w:t>
            </w:r>
          </w:p>
          <w:p w14:paraId="1F9B9284" w14:textId="77777777" w:rsidR="008962CE" w:rsidRDefault="008962CE" w:rsidP="00614AF5">
            <w:pPr>
              <w:pStyle w:val="ListParagraph"/>
              <w:numPr>
                <w:ilvl w:val="0"/>
                <w:numId w:val="23"/>
              </w:numPr>
              <w:rPr>
                <w:rFonts w:cs="Arial"/>
                <w:sz w:val="20"/>
                <w:szCs w:val="20"/>
              </w:rPr>
            </w:pPr>
            <w:r w:rsidRPr="58A14E8B">
              <w:rPr>
                <w:rFonts w:cs="Arial"/>
                <w:sz w:val="20"/>
                <w:szCs w:val="20"/>
              </w:rPr>
              <w:t>dishwasher temperatures</w:t>
            </w:r>
          </w:p>
          <w:p w14:paraId="2E508BB9" w14:textId="77777777" w:rsidR="008962CE" w:rsidRDefault="008962CE" w:rsidP="00614AF5">
            <w:pPr>
              <w:pStyle w:val="ListParagraph"/>
              <w:numPr>
                <w:ilvl w:val="0"/>
                <w:numId w:val="23"/>
              </w:numPr>
              <w:rPr>
                <w:rFonts w:cs="Arial"/>
                <w:sz w:val="20"/>
                <w:szCs w:val="20"/>
              </w:rPr>
            </w:pPr>
            <w:r w:rsidRPr="58A14E8B">
              <w:rPr>
                <w:rFonts w:cs="Arial"/>
                <w:sz w:val="20"/>
                <w:szCs w:val="20"/>
              </w:rPr>
              <w:t xml:space="preserve">keeping a calibration record for temperature measuring devices (clause 22 Standard 3.2.2) </w:t>
            </w:r>
          </w:p>
          <w:p w14:paraId="630D13C5" w14:textId="77777777" w:rsidR="008962CE" w:rsidRDefault="008962CE" w:rsidP="00614AF5">
            <w:pPr>
              <w:pStyle w:val="ListParagraph"/>
              <w:numPr>
                <w:ilvl w:val="0"/>
                <w:numId w:val="23"/>
              </w:numPr>
              <w:rPr>
                <w:rFonts w:cs="Arial"/>
                <w:sz w:val="20"/>
                <w:szCs w:val="20"/>
              </w:rPr>
            </w:pPr>
            <w:r w:rsidRPr="58A14E8B">
              <w:rPr>
                <w:rFonts w:cs="Arial"/>
                <w:sz w:val="20"/>
                <w:szCs w:val="20"/>
              </w:rPr>
              <w:t xml:space="preserve">date label when batches of food are prepared; e.g. gravies and sauces that are made, cooled and then kept in cool room for several days </w:t>
            </w:r>
          </w:p>
          <w:p w14:paraId="07BC450F" w14:textId="77777777" w:rsidR="008962CE" w:rsidRDefault="008962CE" w:rsidP="00614AF5">
            <w:pPr>
              <w:pStyle w:val="ListParagraph"/>
              <w:numPr>
                <w:ilvl w:val="0"/>
                <w:numId w:val="23"/>
              </w:numPr>
              <w:rPr>
                <w:rFonts w:cs="Arial"/>
                <w:sz w:val="20"/>
                <w:szCs w:val="20"/>
              </w:rPr>
            </w:pPr>
            <w:r w:rsidRPr="58A14E8B">
              <w:rPr>
                <w:rFonts w:cs="Arial"/>
                <w:sz w:val="20"/>
                <w:szCs w:val="20"/>
              </w:rPr>
              <w:t>corrective action.</w:t>
            </w:r>
          </w:p>
          <w:p w14:paraId="5CB217C8" w14:textId="77777777" w:rsidR="008962CE" w:rsidRDefault="008962CE" w:rsidP="003A458A">
            <w:pPr>
              <w:rPr>
                <w:rFonts w:cs="Arial"/>
                <w:sz w:val="20"/>
                <w:szCs w:val="20"/>
              </w:rPr>
            </w:pPr>
          </w:p>
          <w:p w14:paraId="37472A80" w14:textId="77777777" w:rsidR="008962CE" w:rsidRDefault="008962CE" w:rsidP="003A458A">
            <w:pPr>
              <w:rPr>
                <w:rFonts w:cs="Arial"/>
                <w:sz w:val="20"/>
                <w:szCs w:val="20"/>
              </w:rPr>
            </w:pPr>
            <w:r w:rsidRPr="58A14E8B">
              <w:rPr>
                <w:rFonts w:cs="Arial"/>
                <w:sz w:val="20"/>
                <w:szCs w:val="20"/>
              </w:rPr>
              <w:t xml:space="preserve">Evidence requirements should be commensurate with risk – not just for Category 1 businesses, but minimum records for other categories. </w:t>
            </w:r>
          </w:p>
          <w:p w14:paraId="403637FB" w14:textId="77777777" w:rsidR="008962CE" w:rsidRDefault="008962CE" w:rsidP="003A458A">
            <w:pPr>
              <w:rPr>
                <w:rFonts w:cs="Arial"/>
                <w:sz w:val="20"/>
                <w:szCs w:val="20"/>
              </w:rPr>
            </w:pPr>
            <w:r w:rsidRPr="58A14E8B">
              <w:rPr>
                <w:rFonts w:cs="Arial"/>
                <w:sz w:val="20"/>
                <w:szCs w:val="20"/>
              </w:rPr>
              <w:t xml:space="preserve">For Category 2 businesses: </w:t>
            </w:r>
          </w:p>
          <w:p w14:paraId="7B0E7CF5" w14:textId="77777777" w:rsidR="008962CE" w:rsidRDefault="008962CE" w:rsidP="00614AF5">
            <w:pPr>
              <w:pStyle w:val="ListParagraph"/>
              <w:numPr>
                <w:ilvl w:val="0"/>
                <w:numId w:val="22"/>
              </w:numPr>
              <w:rPr>
                <w:rFonts w:cs="Arial"/>
                <w:sz w:val="20"/>
                <w:szCs w:val="20"/>
              </w:rPr>
            </w:pPr>
            <w:r w:rsidRPr="58A14E8B">
              <w:rPr>
                <w:rFonts w:cs="Arial"/>
                <w:sz w:val="20"/>
                <w:szCs w:val="20"/>
              </w:rPr>
              <w:lastRenderedPageBreak/>
              <w:t>food temperature</w:t>
            </w:r>
            <w:r>
              <w:tab/>
            </w:r>
          </w:p>
          <w:p w14:paraId="75DCCEF8" w14:textId="5AB4564A" w:rsidR="008962CE" w:rsidRDefault="008962CE" w:rsidP="00614AF5">
            <w:pPr>
              <w:pStyle w:val="ListParagraph"/>
              <w:numPr>
                <w:ilvl w:val="0"/>
                <w:numId w:val="22"/>
              </w:numPr>
              <w:rPr>
                <w:rFonts w:cs="Arial"/>
                <w:sz w:val="20"/>
                <w:szCs w:val="20"/>
              </w:rPr>
            </w:pPr>
            <w:r w:rsidRPr="58A14E8B">
              <w:rPr>
                <w:rFonts w:cs="Arial"/>
                <w:sz w:val="20"/>
                <w:szCs w:val="20"/>
              </w:rPr>
              <w:t>reheating and hot holdi</w:t>
            </w:r>
            <w:r w:rsidR="00B66010">
              <w:rPr>
                <w:rFonts w:cs="Arial"/>
                <w:sz w:val="20"/>
                <w:szCs w:val="20"/>
              </w:rPr>
              <w:t>ng</w:t>
            </w:r>
          </w:p>
          <w:p w14:paraId="32FCE59F" w14:textId="77777777" w:rsidR="008962CE" w:rsidRDefault="008962CE" w:rsidP="00614AF5">
            <w:pPr>
              <w:pStyle w:val="ListParagraph"/>
              <w:numPr>
                <w:ilvl w:val="0"/>
                <w:numId w:val="22"/>
              </w:numPr>
              <w:rPr>
                <w:rFonts w:cs="Arial"/>
                <w:sz w:val="20"/>
                <w:szCs w:val="20"/>
              </w:rPr>
            </w:pPr>
            <w:r w:rsidRPr="58A14E8B">
              <w:rPr>
                <w:rFonts w:cs="Arial"/>
                <w:sz w:val="20"/>
                <w:szCs w:val="20"/>
              </w:rPr>
              <w:t>record if temperature was not maintained and the corrective action taken</w:t>
            </w:r>
          </w:p>
          <w:p w14:paraId="2B01E366" w14:textId="77777777" w:rsidR="008962CE" w:rsidRDefault="008962CE" w:rsidP="003A458A">
            <w:pPr>
              <w:rPr>
                <w:rFonts w:cs="Arial"/>
                <w:sz w:val="20"/>
                <w:szCs w:val="20"/>
              </w:rPr>
            </w:pPr>
            <w:r w:rsidRPr="58A14E8B">
              <w:rPr>
                <w:rFonts w:cs="Arial"/>
                <w:sz w:val="20"/>
                <w:szCs w:val="20"/>
              </w:rPr>
              <w:t>For Category 3 businesses:</w:t>
            </w:r>
          </w:p>
          <w:p w14:paraId="027D8358" w14:textId="77777777" w:rsidR="008962CE" w:rsidRDefault="008962CE" w:rsidP="00614AF5">
            <w:pPr>
              <w:pStyle w:val="ListParagraph"/>
              <w:numPr>
                <w:ilvl w:val="0"/>
                <w:numId w:val="21"/>
              </w:numPr>
              <w:rPr>
                <w:rFonts w:cs="Arial"/>
                <w:sz w:val="20"/>
                <w:szCs w:val="20"/>
              </w:rPr>
            </w:pPr>
            <w:r w:rsidRPr="58A14E8B">
              <w:rPr>
                <w:rFonts w:cs="Arial"/>
                <w:sz w:val="20"/>
                <w:szCs w:val="20"/>
              </w:rPr>
              <w:t>heating times and temperatures.</w:t>
            </w:r>
          </w:p>
          <w:p w14:paraId="24247ECB" w14:textId="77777777" w:rsidR="008962CE" w:rsidRDefault="008962CE" w:rsidP="003A458A">
            <w:pPr>
              <w:rPr>
                <w:rFonts w:cs="Arial"/>
                <w:sz w:val="20"/>
                <w:szCs w:val="20"/>
              </w:rPr>
            </w:pPr>
          </w:p>
          <w:p w14:paraId="2720F197" w14:textId="4999B01F" w:rsidR="008962CE" w:rsidRDefault="00233422" w:rsidP="00233422">
            <w:pPr>
              <w:rPr>
                <w:rFonts w:cs="Arial"/>
                <w:sz w:val="20"/>
                <w:szCs w:val="20"/>
              </w:rPr>
            </w:pPr>
            <w:r>
              <w:rPr>
                <w:rFonts w:cs="Arial"/>
                <w:sz w:val="20"/>
                <w:szCs w:val="20"/>
              </w:rPr>
              <w:t>Other submissions noted that r</w:t>
            </w:r>
            <w:r w:rsidR="008962CE" w:rsidRPr="58A14E8B">
              <w:rPr>
                <w:rFonts w:cs="Arial"/>
                <w:sz w:val="20"/>
                <w:szCs w:val="20"/>
              </w:rPr>
              <w:t>ecords should only be required for particular businesses e.g. when food is intentionally made in advance, or when displayed using 2 hr/4 hr rule.</w:t>
            </w:r>
          </w:p>
        </w:tc>
        <w:tc>
          <w:tcPr>
            <w:tcW w:w="1463" w:type="dxa"/>
          </w:tcPr>
          <w:p w14:paraId="35E0EF0B" w14:textId="77777777" w:rsidR="008962CE" w:rsidRDefault="008962CE" w:rsidP="003A458A">
            <w:pPr>
              <w:rPr>
                <w:rFonts w:cs="Arial"/>
                <w:sz w:val="20"/>
                <w:szCs w:val="20"/>
              </w:rPr>
            </w:pPr>
            <w:r w:rsidRPr="58A14E8B">
              <w:rPr>
                <w:rFonts w:cs="Arial"/>
                <w:sz w:val="20"/>
                <w:szCs w:val="20"/>
              </w:rPr>
              <w:lastRenderedPageBreak/>
              <w:t>local council, service provider</w:t>
            </w:r>
          </w:p>
          <w:p w14:paraId="113F53E3" w14:textId="77777777" w:rsidR="008962CE" w:rsidRDefault="008962CE" w:rsidP="003A458A">
            <w:pPr>
              <w:rPr>
                <w:rFonts w:cs="Arial"/>
                <w:sz w:val="20"/>
                <w:szCs w:val="20"/>
              </w:rPr>
            </w:pPr>
          </w:p>
        </w:tc>
        <w:tc>
          <w:tcPr>
            <w:tcW w:w="6799" w:type="dxa"/>
          </w:tcPr>
          <w:p w14:paraId="4581EB9A" w14:textId="4ECC421F" w:rsidR="008962CE" w:rsidRDefault="008962CE" w:rsidP="003A458A">
            <w:pPr>
              <w:rPr>
                <w:rFonts w:cs="Arial"/>
                <w:sz w:val="20"/>
                <w:szCs w:val="20"/>
              </w:rPr>
            </w:pPr>
            <w:r w:rsidRPr="58A14E8B">
              <w:rPr>
                <w:rFonts w:cs="Arial"/>
                <w:sz w:val="20"/>
                <w:szCs w:val="20"/>
              </w:rPr>
              <w:t>FSANZ assessment (outlined in the DRIS) was that the E requirement as a regulatory intervention provides an appropriate efficacy on the food handling activit</w:t>
            </w:r>
            <w:r w:rsidR="00233422">
              <w:rPr>
                <w:rFonts w:cs="Arial"/>
                <w:sz w:val="20"/>
                <w:szCs w:val="20"/>
              </w:rPr>
              <w:t xml:space="preserve">ies referenced in the requirement. These were areas of focus as they were identified in </w:t>
            </w:r>
            <w:r w:rsidR="003A525B">
              <w:rPr>
                <w:rFonts w:cs="Arial"/>
                <w:sz w:val="20"/>
                <w:szCs w:val="20"/>
              </w:rPr>
              <w:t>the P1053</w:t>
            </w:r>
            <w:r w:rsidR="00233422">
              <w:rPr>
                <w:rFonts w:cs="Arial"/>
                <w:sz w:val="20"/>
                <w:szCs w:val="20"/>
              </w:rPr>
              <w:t xml:space="preserve"> </w:t>
            </w:r>
            <w:hyperlink r:id="rId73" w:history="1">
              <w:r w:rsidR="003A525B">
                <w:rPr>
                  <w:rStyle w:val="Hyperlink"/>
                  <w:rFonts w:cs="Arial"/>
                  <w:sz w:val="20"/>
                  <w:szCs w:val="20"/>
                </w:rPr>
                <w:t xml:space="preserve">micro risk </w:t>
              </w:r>
              <w:r w:rsidR="003A525B" w:rsidRPr="003A525B">
                <w:rPr>
                  <w:rStyle w:val="Hyperlink"/>
                  <w:rFonts w:cs="Arial"/>
                  <w:sz w:val="20"/>
                  <w:szCs w:val="20"/>
                </w:rPr>
                <w:t>profi</w:t>
              </w:r>
              <w:r w:rsidR="003A525B">
                <w:rPr>
                  <w:rStyle w:val="Hyperlink"/>
                  <w:rFonts w:cs="Arial"/>
                  <w:sz w:val="20"/>
                  <w:szCs w:val="20"/>
                </w:rPr>
                <w:t>le</w:t>
              </w:r>
            </w:hyperlink>
            <w:r w:rsidR="003A525B">
              <w:rPr>
                <w:rFonts w:cs="Arial"/>
                <w:sz w:val="20"/>
                <w:szCs w:val="20"/>
              </w:rPr>
              <w:t xml:space="preserve"> </w:t>
            </w:r>
            <w:r w:rsidR="00233422">
              <w:rPr>
                <w:rFonts w:cs="Arial"/>
                <w:sz w:val="20"/>
                <w:szCs w:val="20"/>
              </w:rPr>
              <w:t>as causal factors of foodborne illness</w:t>
            </w:r>
            <w:r w:rsidRPr="58A14E8B">
              <w:rPr>
                <w:rFonts w:cs="Arial"/>
                <w:sz w:val="20"/>
                <w:szCs w:val="20"/>
              </w:rPr>
              <w:t xml:space="preserve">. FSANZ analysis of cost and benefits of </w:t>
            </w:r>
            <w:r>
              <w:rPr>
                <w:rFonts w:cs="Arial"/>
                <w:sz w:val="20"/>
                <w:szCs w:val="20"/>
              </w:rPr>
              <w:t xml:space="preserve">the proposed </w:t>
            </w:r>
            <w:r w:rsidRPr="58A14E8B">
              <w:rPr>
                <w:rFonts w:cs="Arial"/>
                <w:sz w:val="20"/>
                <w:szCs w:val="20"/>
              </w:rPr>
              <w:t>approach indicates a strong net benefit and a reduction in foodborne illness.</w:t>
            </w:r>
          </w:p>
          <w:p w14:paraId="0C071FA2" w14:textId="6B079BCA" w:rsidR="00233422" w:rsidRDefault="00233422" w:rsidP="003A458A">
            <w:pPr>
              <w:rPr>
                <w:rFonts w:cs="Arial"/>
                <w:sz w:val="20"/>
                <w:szCs w:val="20"/>
              </w:rPr>
            </w:pPr>
          </w:p>
          <w:p w14:paraId="3C052D51" w14:textId="3E95D6EA" w:rsidR="00233422" w:rsidRDefault="009279F5" w:rsidP="003A458A">
            <w:pPr>
              <w:rPr>
                <w:rFonts w:cs="Arial"/>
                <w:sz w:val="20"/>
                <w:szCs w:val="20"/>
              </w:rPr>
            </w:pPr>
            <w:r>
              <w:rPr>
                <w:rFonts w:cs="Arial"/>
                <w:sz w:val="20"/>
                <w:szCs w:val="20"/>
              </w:rPr>
              <w:t>As stated in s</w:t>
            </w:r>
            <w:r w:rsidR="00EB6048">
              <w:rPr>
                <w:rFonts w:cs="Arial"/>
                <w:sz w:val="20"/>
                <w:szCs w:val="20"/>
              </w:rPr>
              <w:t xml:space="preserve">ection </w:t>
            </w:r>
            <w:r w:rsidR="00EB6048" w:rsidRPr="009279F5">
              <w:rPr>
                <w:rFonts w:cs="Arial"/>
                <w:bCs/>
                <w:sz w:val="20"/>
                <w:szCs w:val="20"/>
              </w:rPr>
              <w:t>4.5.2 of the DRI</w:t>
            </w:r>
            <w:r>
              <w:rPr>
                <w:rFonts w:cs="Arial"/>
                <w:bCs/>
                <w:sz w:val="20"/>
                <w:szCs w:val="20"/>
              </w:rPr>
              <w:t xml:space="preserve">S, in addition to cost-benefit and food safety risk, FSANZ </w:t>
            </w:r>
            <w:r w:rsidR="00EB6048" w:rsidRPr="00EB6048">
              <w:rPr>
                <w:rFonts w:cs="Arial"/>
                <w:sz w:val="20"/>
                <w:szCs w:val="20"/>
              </w:rPr>
              <w:t>also considered ‘fit-for-purpose’ or appropriateness of each food safety management tool</w:t>
            </w:r>
            <w:r>
              <w:rPr>
                <w:rFonts w:cs="Arial"/>
                <w:sz w:val="20"/>
                <w:szCs w:val="20"/>
              </w:rPr>
              <w:t>. We have determined that l</w:t>
            </w:r>
            <w:r w:rsidR="00EB6048" w:rsidRPr="00EB6048">
              <w:rPr>
                <w:rFonts w:cs="Arial"/>
                <w:sz w:val="20"/>
                <w:szCs w:val="20"/>
              </w:rPr>
              <w:t xml:space="preserve">ess onerous regulatory options fit better with the capabilities and resources of industry and regulators </w:t>
            </w:r>
            <w:r>
              <w:rPr>
                <w:rFonts w:cs="Arial"/>
                <w:sz w:val="20"/>
                <w:szCs w:val="20"/>
              </w:rPr>
              <w:t xml:space="preserve">for application in category 2 businesses (as </w:t>
            </w:r>
            <w:r>
              <w:rPr>
                <w:rFonts w:cs="Arial"/>
                <w:sz w:val="20"/>
                <w:szCs w:val="20"/>
              </w:rPr>
              <w:lastRenderedPageBreak/>
              <w:t>compared to category 1)</w:t>
            </w:r>
            <w:r w:rsidR="00EB6048" w:rsidRPr="00EB6048">
              <w:rPr>
                <w:rFonts w:cs="Arial"/>
                <w:sz w:val="20"/>
                <w:szCs w:val="20"/>
              </w:rPr>
              <w:t>.</w:t>
            </w:r>
            <w:r w:rsidR="003A525B">
              <w:rPr>
                <w:rFonts w:cs="Arial"/>
                <w:sz w:val="20"/>
                <w:szCs w:val="20"/>
              </w:rPr>
              <w:t xml:space="preserve"> </w:t>
            </w:r>
          </w:p>
          <w:p w14:paraId="24385F5E" w14:textId="77777777" w:rsidR="008962CE" w:rsidRDefault="008962CE" w:rsidP="003A458A">
            <w:pPr>
              <w:rPr>
                <w:rFonts w:cs="Arial"/>
                <w:sz w:val="20"/>
                <w:szCs w:val="20"/>
              </w:rPr>
            </w:pPr>
          </w:p>
        </w:tc>
      </w:tr>
      <w:tr w:rsidR="008962CE" w:rsidRPr="00CF23F2" w14:paraId="1AA0814F" w14:textId="77777777" w:rsidTr="55CA05F7">
        <w:tc>
          <w:tcPr>
            <w:tcW w:w="14737" w:type="dxa"/>
            <w:gridSpan w:val="3"/>
            <w:shd w:val="clear" w:color="auto" w:fill="DDD9C3" w:themeFill="background2" w:themeFillShade="E6"/>
          </w:tcPr>
          <w:p w14:paraId="61E6D093" w14:textId="77777777" w:rsidR="008962CE" w:rsidRPr="0009415F" w:rsidRDefault="008962CE" w:rsidP="003A458A">
            <w:pPr>
              <w:keepNext/>
              <w:rPr>
                <w:rFonts w:cs="Arial"/>
                <w:b/>
                <w:sz w:val="20"/>
                <w:szCs w:val="20"/>
              </w:rPr>
            </w:pPr>
            <w:r w:rsidRPr="0009415F" w:rsidDel="006648BD">
              <w:rPr>
                <w:rFonts w:cs="Arial"/>
                <w:b/>
                <w:sz w:val="20"/>
                <w:szCs w:val="20"/>
              </w:rPr>
              <w:lastRenderedPageBreak/>
              <w:t xml:space="preserve">Transition period </w:t>
            </w:r>
          </w:p>
          <w:p w14:paraId="6EDC75CF" w14:textId="77777777" w:rsidR="008962CE" w:rsidRDefault="008962CE" w:rsidP="003A458A">
            <w:pPr>
              <w:rPr>
                <w:rFonts w:cs="Arial"/>
                <w:sz w:val="20"/>
                <w:szCs w:val="20"/>
              </w:rPr>
            </w:pPr>
          </w:p>
        </w:tc>
      </w:tr>
      <w:tr w:rsidR="008962CE" w:rsidRPr="00CF23F2" w14:paraId="4FFFCE3D" w14:textId="77777777" w:rsidTr="00FD5F2E">
        <w:tc>
          <w:tcPr>
            <w:tcW w:w="6475" w:type="dxa"/>
          </w:tcPr>
          <w:p w14:paraId="1A8D77F6" w14:textId="77777777" w:rsidR="008962CE" w:rsidRDefault="008962CE" w:rsidP="003A458A">
            <w:pPr>
              <w:rPr>
                <w:rFonts w:cs="Arial"/>
                <w:sz w:val="20"/>
                <w:szCs w:val="20"/>
              </w:rPr>
            </w:pPr>
            <w:r w:rsidRPr="00BC3F4A">
              <w:rPr>
                <w:rFonts w:cs="Arial"/>
                <w:sz w:val="20"/>
                <w:szCs w:val="20"/>
              </w:rPr>
              <w:t>12 months is too short for businesses and councils to prepare, train, and ensure adequate resources for the increased workload.</w:t>
            </w:r>
          </w:p>
          <w:p w14:paraId="403FDE0D" w14:textId="77777777" w:rsidR="008962CE" w:rsidRPr="00BC3F4A" w:rsidRDefault="008962CE" w:rsidP="003A458A">
            <w:pPr>
              <w:rPr>
                <w:rFonts w:cs="Arial"/>
                <w:sz w:val="20"/>
                <w:szCs w:val="20"/>
              </w:rPr>
            </w:pPr>
          </w:p>
          <w:p w14:paraId="6D366FB6" w14:textId="77777777" w:rsidR="008962CE" w:rsidRDefault="008962CE" w:rsidP="003A458A">
            <w:pPr>
              <w:rPr>
                <w:rFonts w:cs="Arial"/>
                <w:sz w:val="20"/>
                <w:szCs w:val="20"/>
              </w:rPr>
            </w:pPr>
            <w:r>
              <w:rPr>
                <w:rFonts w:cs="Arial"/>
                <w:sz w:val="20"/>
                <w:szCs w:val="20"/>
              </w:rPr>
              <w:t>A</w:t>
            </w:r>
            <w:r w:rsidRPr="00CF23F2">
              <w:rPr>
                <w:rFonts w:cs="Arial"/>
                <w:sz w:val="20"/>
                <w:szCs w:val="20"/>
              </w:rPr>
              <w:t xml:space="preserve">gree </w:t>
            </w:r>
            <w:r w:rsidRPr="00CF23F2" w:rsidDel="006648BD">
              <w:rPr>
                <w:rFonts w:cs="Arial"/>
                <w:sz w:val="20"/>
                <w:szCs w:val="20"/>
              </w:rPr>
              <w:t>with the proposed 12-month transition period</w:t>
            </w:r>
            <w:r>
              <w:rPr>
                <w:rFonts w:cs="Arial"/>
                <w:sz w:val="20"/>
                <w:szCs w:val="20"/>
              </w:rPr>
              <w:t>.</w:t>
            </w:r>
          </w:p>
        </w:tc>
        <w:tc>
          <w:tcPr>
            <w:tcW w:w="1463" w:type="dxa"/>
          </w:tcPr>
          <w:p w14:paraId="33251818" w14:textId="77777777" w:rsidR="008962CE" w:rsidRPr="00CF23F2" w:rsidRDefault="008962CE" w:rsidP="003A458A">
            <w:pPr>
              <w:rPr>
                <w:rFonts w:cs="Arial"/>
                <w:sz w:val="20"/>
                <w:szCs w:val="20"/>
              </w:rPr>
            </w:pPr>
            <w:r w:rsidRPr="00CF23F2">
              <w:rPr>
                <w:rFonts w:cs="Arial"/>
                <w:sz w:val="20"/>
                <w:szCs w:val="20"/>
              </w:rPr>
              <w:t>local council, service provider</w:t>
            </w:r>
          </w:p>
        </w:tc>
        <w:tc>
          <w:tcPr>
            <w:tcW w:w="6799" w:type="dxa"/>
          </w:tcPr>
          <w:p w14:paraId="311A10B5" w14:textId="77777777" w:rsidR="008962CE" w:rsidRDefault="008962CE" w:rsidP="003A458A">
            <w:pPr>
              <w:rPr>
                <w:rFonts w:cs="Arial"/>
                <w:sz w:val="20"/>
                <w:szCs w:val="20"/>
              </w:rPr>
            </w:pPr>
            <w:r>
              <w:rPr>
                <w:rFonts w:cs="Arial"/>
                <w:sz w:val="20"/>
                <w:szCs w:val="20"/>
              </w:rPr>
              <w:t>While there were diverse views from submitters, predominantly the proposed 12-month commencement period was welcomed. FSANZ has therefore retained the proposed 12-months commencement period.</w:t>
            </w:r>
          </w:p>
        </w:tc>
      </w:tr>
      <w:tr w:rsidR="008962CE" w14:paraId="12F4B271" w14:textId="77777777" w:rsidTr="55CA05F7">
        <w:trPr>
          <w:trHeight w:val="420"/>
        </w:trPr>
        <w:tc>
          <w:tcPr>
            <w:tcW w:w="14737" w:type="dxa"/>
            <w:gridSpan w:val="3"/>
            <w:shd w:val="clear" w:color="auto" w:fill="DDD9C3" w:themeFill="background2" w:themeFillShade="E6"/>
          </w:tcPr>
          <w:p w14:paraId="2397D5E0" w14:textId="77777777" w:rsidR="008962CE" w:rsidRDefault="008962CE" w:rsidP="003A458A">
            <w:pPr>
              <w:rPr>
                <w:rFonts w:cs="Arial"/>
                <w:b/>
                <w:bCs/>
                <w:sz w:val="20"/>
                <w:szCs w:val="20"/>
              </w:rPr>
            </w:pPr>
            <w:r w:rsidRPr="58A14E8B">
              <w:rPr>
                <w:rFonts w:cs="Arial"/>
                <w:b/>
                <w:bCs/>
                <w:sz w:val="20"/>
                <w:szCs w:val="20"/>
              </w:rPr>
              <w:t>Implementation</w:t>
            </w:r>
          </w:p>
        </w:tc>
      </w:tr>
      <w:tr w:rsidR="008962CE" w14:paraId="745B546D" w14:textId="77777777" w:rsidTr="00FD5F2E">
        <w:tc>
          <w:tcPr>
            <w:tcW w:w="6475" w:type="dxa"/>
          </w:tcPr>
          <w:p w14:paraId="506E5824" w14:textId="77777777" w:rsidR="008962CE" w:rsidRDefault="008962CE" w:rsidP="003A458A">
            <w:pPr>
              <w:rPr>
                <w:rFonts w:cs="Arial"/>
                <w:sz w:val="20"/>
                <w:szCs w:val="20"/>
              </w:rPr>
            </w:pPr>
            <w:r w:rsidRPr="58A14E8B">
              <w:rPr>
                <w:rFonts w:cs="Arial"/>
                <w:sz w:val="20"/>
                <w:szCs w:val="20"/>
              </w:rPr>
              <w:t>Additional burden on regulators to implement the proposed requirements</w:t>
            </w:r>
          </w:p>
        </w:tc>
        <w:tc>
          <w:tcPr>
            <w:tcW w:w="1463" w:type="dxa"/>
          </w:tcPr>
          <w:p w14:paraId="343834AC" w14:textId="77777777" w:rsidR="008962CE" w:rsidRDefault="008962CE" w:rsidP="003A458A">
            <w:pPr>
              <w:rPr>
                <w:rFonts w:cs="Arial"/>
                <w:sz w:val="20"/>
                <w:szCs w:val="20"/>
              </w:rPr>
            </w:pPr>
            <w:r w:rsidRPr="58A14E8B">
              <w:rPr>
                <w:rFonts w:cs="Arial"/>
                <w:sz w:val="20"/>
                <w:szCs w:val="20"/>
              </w:rPr>
              <w:t>local council</w:t>
            </w:r>
          </w:p>
        </w:tc>
        <w:tc>
          <w:tcPr>
            <w:tcW w:w="6799" w:type="dxa"/>
          </w:tcPr>
          <w:p w14:paraId="6B496AEC" w14:textId="77984A29" w:rsidR="008962CE" w:rsidRDefault="008962CE" w:rsidP="003A458A">
            <w:pPr>
              <w:rPr>
                <w:rFonts w:cs="Arial"/>
                <w:sz w:val="20"/>
                <w:szCs w:val="20"/>
              </w:rPr>
            </w:pPr>
            <w:r w:rsidRPr="58A14E8B">
              <w:rPr>
                <w:rFonts w:cs="Arial"/>
                <w:sz w:val="20"/>
                <w:szCs w:val="20"/>
              </w:rPr>
              <w:t>FSANZ cost-benefit analysis, set out in the</w:t>
            </w:r>
            <w:r>
              <w:rPr>
                <w:rFonts w:cs="Arial"/>
                <w:sz w:val="20"/>
                <w:szCs w:val="20"/>
              </w:rPr>
              <w:t xml:space="preserve"> </w:t>
            </w:r>
            <w:r w:rsidR="00003CCC" w:rsidRPr="00003CCC">
              <w:rPr>
                <w:rFonts w:cs="Arial"/>
                <w:sz w:val="20"/>
                <w:szCs w:val="20"/>
              </w:rPr>
              <w:t>DRIS (attachment C to the approval</w:t>
            </w:r>
            <w:r w:rsidRPr="58A14E8B">
              <w:rPr>
                <w:rFonts w:cs="Arial"/>
                <w:sz w:val="20"/>
                <w:szCs w:val="20"/>
              </w:rPr>
              <w:t xml:space="preserve"> report), identifies a cost neutral effect on government for implementation of the proposed standard over a 10 year period. Assumptions which underpin this assessment were consulted on with the jurisdictional </w:t>
            </w:r>
            <w:r>
              <w:rPr>
                <w:rFonts w:cs="Arial"/>
                <w:sz w:val="20"/>
                <w:szCs w:val="20"/>
              </w:rPr>
              <w:t>IWG</w:t>
            </w:r>
            <w:r w:rsidRPr="58A14E8B">
              <w:rPr>
                <w:rFonts w:cs="Arial"/>
                <w:sz w:val="20"/>
                <w:szCs w:val="20"/>
              </w:rPr>
              <w:t xml:space="preserve">. Submissions to the CFS have noted ‘Despite the short-term administrative burden, there are long-term benefits with a continual development of a positive food safety culture through improved food safety knowledge, food safety practices, and illness reduction.’ </w:t>
            </w:r>
          </w:p>
          <w:p w14:paraId="2AED802F" w14:textId="30ED0684" w:rsidR="008962CE" w:rsidRDefault="008962CE" w:rsidP="003A458A">
            <w:pPr>
              <w:rPr>
                <w:rFonts w:cs="Arial"/>
                <w:sz w:val="20"/>
                <w:szCs w:val="20"/>
              </w:rPr>
            </w:pPr>
            <w:r w:rsidRPr="58A14E8B">
              <w:rPr>
                <w:rFonts w:cs="Arial"/>
                <w:sz w:val="20"/>
                <w:szCs w:val="20"/>
              </w:rPr>
              <w:t>FSANZ considers these improvements in food safety culture and management to also result in decreased enforcement activity over time.</w:t>
            </w:r>
          </w:p>
        </w:tc>
      </w:tr>
      <w:tr w:rsidR="008962CE" w14:paraId="432A8ACE" w14:textId="77777777" w:rsidTr="55CA05F7">
        <w:trPr>
          <w:trHeight w:val="450"/>
        </w:trPr>
        <w:tc>
          <w:tcPr>
            <w:tcW w:w="14737" w:type="dxa"/>
            <w:gridSpan w:val="3"/>
            <w:shd w:val="clear" w:color="auto" w:fill="DDD9C3" w:themeFill="background2" w:themeFillShade="E6"/>
          </w:tcPr>
          <w:p w14:paraId="6EC2D321" w14:textId="0E21F079" w:rsidR="008962CE" w:rsidRDefault="003E676F" w:rsidP="003A458A">
            <w:pPr>
              <w:rPr>
                <w:rFonts w:cs="Arial"/>
                <w:b/>
                <w:bCs/>
                <w:sz w:val="20"/>
                <w:szCs w:val="20"/>
              </w:rPr>
            </w:pPr>
            <w:r>
              <w:rPr>
                <w:rFonts w:cs="Arial"/>
                <w:b/>
                <w:bCs/>
                <w:sz w:val="20"/>
                <w:szCs w:val="20"/>
              </w:rPr>
              <w:t>Burden on businesses</w:t>
            </w:r>
          </w:p>
        </w:tc>
      </w:tr>
      <w:tr w:rsidR="008962CE" w14:paraId="410C26CE" w14:textId="77777777" w:rsidTr="00FD5F2E">
        <w:tc>
          <w:tcPr>
            <w:tcW w:w="6475" w:type="dxa"/>
          </w:tcPr>
          <w:p w14:paraId="521BD761" w14:textId="7F6B9433" w:rsidR="008962CE" w:rsidRDefault="008962CE" w:rsidP="00614AF5">
            <w:pPr>
              <w:pStyle w:val="ListParagraph"/>
              <w:numPr>
                <w:ilvl w:val="0"/>
                <w:numId w:val="20"/>
              </w:numPr>
              <w:rPr>
                <w:sz w:val="20"/>
                <w:szCs w:val="20"/>
              </w:rPr>
            </w:pPr>
            <w:r w:rsidRPr="58A14E8B">
              <w:rPr>
                <w:sz w:val="20"/>
                <w:szCs w:val="20"/>
              </w:rPr>
              <w:t xml:space="preserve">Mandating </w:t>
            </w:r>
            <w:r w:rsidR="00337A02">
              <w:rPr>
                <w:sz w:val="20"/>
                <w:szCs w:val="20"/>
              </w:rPr>
              <w:t xml:space="preserve">these tools </w:t>
            </w:r>
            <w:r w:rsidRPr="58A14E8B">
              <w:rPr>
                <w:sz w:val="20"/>
                <w:szCs w:val="20"/>
              </w:rPr>
              <w:t>may result in increased administration or inspection costs to businesses</w:t>
            </w:r>
          </w:p>
          <w:p w14:paraId="11227637" w14:textId="77777777" w:rsidR="008962CE" w:rsidRDefault="008962CE" w:rsidP="00614AF5">
            <w:pPr>
              <w:pStyle w:val="ListParagraph"/>
              <w:numPr>
                <w:ilvl w:val="0"/>
                <w:numId w:val="20"/>
              </w:numPr>
              <w:rPr>
                <w:sz w:val="20"/>
                <w:szCs w:val="20"/>
              </w:rPr>
            </w:pPr>
            <w:r w:rsidRPr="58A14E8B">
              <w:rPr>
                <w:sz w:val="20"/>
                <w:szCs w:val="20"/>
              </w:rPr>
              <w:t>Impractical to require all staff to have FHT – e.g. high staff turnover, difficult to place obligations on minors, businesses may have to terminate staff.</w:t>
            </w:r>
          </w:p>
          <w:p w14:paraId="7B08E00E" w14:textId="77777777" w:rsidR="008962CE" w:rsidRDefault="008962CE" w:rsidP="00614AF5">
            <w:pPr>
              <w:pStyle w:val="ListParagraph"/>
              <w:numPr>
                <w:ilvl w:val="0"/>
                <w:numId w:val="20"/>
              </w:numPr>
              <w:rPr>
                <w:rFonts w:cs="Arial"/>
                <w:sz w:val="20"/>
                <w:szCs w:val="20"/>
              </w:rPr>
            </w:pPr>
            <w:r w:rsidRPr="58A14E8B">
              <w:rPr>
                <w:rFonts w:cs="Arial"/>
                <w:sz w:val="20"/>
                <w:szCs w:val="20"/>
              </w:rPr>
              <w:t>Many businesses will likely struggle to comply, will need to rely on consultants (incurring costs) or EHOs (incurring extra time)</w:t>
            </w:r>
          </w:p>
          <w:p w14:paraId="72BEF35B" w14:textId="0DFED89D" w:rsidR="008962CE" w:rsidRPr="00337A02" w:rsidRDefault="008962CE" w:rsidP="00614AF5">
            <w:pPr>
              <w:pStyle w:val="ListParagraph"/>
              <w:numPr>
                <w:ilvl w:val="0"/>
                <w:numId w:val="20"/>
              </w:numPr>
              <w:rPr>
                <w:rFonts w:cs="Arial"/>
                <w:sz w:val="20"/>
                <w:szCs w:val="20"/>
              </w:rPr>
            </w:pPr>
            <w:r w:rsidRPr="00337A02">
              <w:rPr>
                <w:rFonts w:cs="Arial"/>
                <w:sz w:val="20"/>
                <w:szCs w:val="20"/>
              </w:rPr>
              <w:lastRenderedPageBreak/>
              <w:t>Mandat</w:t>
            </w:r>
            <w:r w:rsidR="00337A02" w:rsidRPr="00337A02">
              <w:rPr>
                <w:rFonts w:cs="Arial"/>
                <w:sz w:val="20"/>
                <w:szCs w:val="20"/>
              </w:rPr>
              <w:t xml:space="preserve">ing these tools may be </w:t>
            </w:r>
            <w:r w:rsidRPr="00337A02">
              <w:rPr>
                <w:rFonts w:cs="Arial"/>
                <w:sz w:val="20"/>
                <w:szCs w:val="20"/>
              </w:rPr>
              <w:t xml:space="preserve">too onerous </w:t>
            </w:r>
            <w:r w:rsidR="00337A02" w:rsidRPr="00337A02">
              <w:rPr>
                <w:rFonts w:cs="Arial"/>
                <w:sz w:val="20"/>
                <w:szCs w:val="20"/>
              </w:rPr>
              <w:t xml:space="preserve">and </w:t>
            </w:r>
            <w:r w:rsidR="00337A02">
              <w:rPr>
                <w:rFonts w:cs="Arial"/>
                <w:sz w:val="20"/>
                <w:szCs w:val="20"/>
              </w:rPr>
              <w:t>c</w:t>
            </w:r>
            <w:r w:rsidRPr="00337A02">
              <w:rPr>
                <w:rFonts w:cs="Arial"/>
                <w:sz w:val="20"/>
                <w:szCs w:val="20"/>
              </w:rPr>
              <w:t>ould cause small businesses to close down or could impact time on other tasks (e.g. cleaning).</w:t>
            </w:r>
          </w:p>
          <w:p w14:paraId="228ACC37" w14:textId="77777777" w:rsidR="008962CE" w:rsidRDefault="008962CE" w:rsidP="003A458A">
            <w:pPr>
              <w:rPr>
                <w:rFonts w:cs="Arial"/>
                <w:sz w:val="20"/>
                <w:szCs w:val="20"/>
              </w:rPr>
            </w:pPr>
          </w:p>
        </w:tc>
        <w:tc>
          <w:tcPr>
            <w:tcW w:w="1463" w:type="dxa"/>
          </w:tcPr>
          <w:p w14:paraId="41C93205" w14:textId="77777777" w:rsidR="008962CE" w:rsidRDefault="008962CE" w:rsidP="003A458A">
            <w:pPr>
              <w:rPr>
                <w:rFonts w:cs="Arial"/>
                <w:sz w:val="20"/>
                <w:szCs w:val="20"/>
              </w:rPr>
            </w:pPr>
          </w:p>
        </w:tc>
        <w:tc>
          <w:tcPr>
            <w:tcW w:w="6799" w:type="dxa"/>
          </w:tcPr>
          <w:p w14:paraId="5E90D410" w14:textId="77777777" w:rsidR="008962CE" w:rsidRDefault="008962CE" w:rsidP="003A458A">
            <w:pPr>
              <w:rPr>
                <w:rFonts w:cs="Arial"/>
                <w:sz w:val="20"/>
                <w:szCs w:val="20"/>
              </w:rPr>
            </w:pPr>
            <w:r w:rsidRPr="58A14E8B">
              <w:rPr>
                <w:rFonts w:cs="Arial"/>
                <w:sz w:val="20"/>
                <w:szCs w:val="20"/>
              </w:rPr>
              <w:t>FSANZ recognises that the sector is characterised with high staff turnover. Staff are not required to undertake training each time they change employers if they maintain proof of prior training, this can be provided to the new business.</w:t>
            </w:r>
          </w:p>
          <w:p w14:paraId="75245961" w14:textId="77777777" w:rsidR="008962CE" w:rsidRDefault="008962CE" w:rsidP="003A458A">
            <w:pPr>
              <w:rPr>
                <w:rFonts w:cs="Arial"/>
                <w:sz w:val="20"/>
                <w:szCs w:val="20"/>
              </w:rPr>
            </w:pPr>
          </w:p>
          <w:p w14:paraId="0E85C9D7" w14:textId="77777777" w:rsidR="008962CE" w:rsidRDefault="008962CE" w:rsidP="003A458A">
            <w:pPr>
              <w:rPr>
                <w:rFonts w:cs="Arial"/>
                <w:sz w:val="20"/>
                <w:szCs w:val="20"/>
              </w:rPr>
            </w:pPr>
            <w:r w:rsidRPr="58A14E8B">
              <w:rPr>
                <w:rFonts w:cs="Arial"/>
                <w:sz w:val="20"/>
                <w:szCs w:val="20"/>
              </w:rPr>
              <w:t xml:space="preserve">Tools are currently available for both businesses and EHOs to support this requirement. Jurisdictions have also formed an implementation working group to consider implementation matters and support. FSANZ will be </w:t>
            </w:r>
            <w:r w:rsidRPr="58A14E8B">
              <w:rPr>
                <w:rFonts w:cs="Arial"/>
                <w:sz w:val="20"/>
                <w:szCs w:val="20"/>
              </w:rPr>
              <w:lastRenderedPageBreak/>
              <w:t>publishing jurisdiction developed guidance on these tools in Safe Food Australia.</w:t>
            </w:r>
          </w:p>
          <w:p w14:paraId="3D9CEA4A" w14:textId="77777777" w:rsidR="008962CE" w:rsidRDefault="008962CE" w:rsidP="003A458A">
            <w:pPr>
              <w:rPr>
                <w:rFonts w:cs="Arial"/>
                <w:sz w:val="20"/>
                <w:szCs w:val="20"/>
              </w:rPr>
            </w:pPr>
          </w:p>
          <w:p w14:paraId="47D4E0AA" w14:textId="77777777" w:rsidR="008962CE" w:rsidRDefault="008962CE" w:rsidP="003A458A">
            <w:pPr>
              <w:rPr>
                <w:rFonts w:cs="Arial"/>
                <w:sz w:val="20"/>
                <w:szCs w:val="20"/>
              </w:rPr>
            </w:pPr>
            <w:r w:rsidRPr="58A14E8B">
              <w:rPr>
                <w:rFonts w:cs="Arial"/>
                <w:sz w:val="20"/>
                <w:szCs w:val="20"/>
              </w:rPr>
              <w:t>FSANZ utilised a demonstration of small business in case studies and in calculating the cost-benefit analysis (DRIS). FSANZ fully considered each draft requirement in terms of costs, benefits and appropriateness, as summarised in this report, to strike a balance between enhancing existing measures and being overly prescriptive.</w:t>
            </w:r>
          </w:p>
          <w:p w14:paraId="4CBBB40C" w14:textId="77777777" w:rsidR="008962CE" w:rsidRDefault="008962CE" w:rsidP="003A458A">
            <w:pPr>
              <w:rPr>
                <w:rFonts w:cs="Arial"/>
                <w:sz w:val="20"/>
                <w:szCs w:val="20"/>
              </w:rPr>
            </w:pPr>
          </w:p>
          <w:p w14:paraId="3A9A0059" w14:textId="511E1AFD" w:rsidR="008962CE" w:rsidRDefault="008962CE" w:rsidP="003A458A">
            <w:pPr>
              <w:rPr>
                <w:rFonts w:cs="Arial"/>
                <w:sz w:val="20"/>
                <w:szCs w:val="20"/>
              </w:rPr>
            </w:pPr>
            <w:r w:rsidRPr="58A14E8B">
              <w:rPr>
                <w:rFonts w:cs="Arial"/>
                <w:sz w:val="20"/>
                <w:szCs w:val="20"/>
              </w:rPr>
              <w:t>FSANZ assessment, as presented in the DRIS, is that the these regulatory measures, applied in a risk-proportionate approach, provides a strong net benefit</w:t>
            </w:r>
            <w:r w:rsidR="00DC440D">
              <w:rPr>
                <w:rFonts w:cs="Arial"/>
                <w:sz w:val="20"/>
                <w:szCs w:val="20"/>
              </w:rPr>
              <w:t xml:space="preserve"> in reduction of food borne illness</w:t>
            </w:r>
            <w:r w:rsidRPr="58A14E8B">
              <w:rPr>
                <w:rFonts w:cs="Arial"/>
                <w:sz w:val="20"/>
                <w:szCs w:val="20"/>
              </w:rPr>
              <w:t>. The benefits outweigh the costs of the proposed standard.</w:t>
            </w:r>
          </w:p>
        </w:tc>
      </w:tr>
    </w:tbl>
    <w:p w14:paraId="0A3989D3" w14:textId="77777777" w:rsidR="008962CE" w:rsidRDefault="008962CE" w:rsidP="008962CE"/>
    <w:p w14:paraId="07732DEF" w14:textId="7BF275C3" w:rsidR="00C64BA1" w:rsidRPr="008C3E07" w:rsidRDefault="00C64BA1" w:rsidP="008962CE">
      <w:pPr>
        <w:rPr>
          <w:b/>
        </w:rPr>
      </w:pPr>
      <w:r w:rsidRPr="008C3E07">
        <w:rPr>
          <w:b/>
        </w:rPr>
        <w:t xml:space="preserve">Implementation </w:t>
      </w:r>
      <w:r>
        <w:rPr>
          <w:b/>
        </w:rPr>
        <w:t>matters</w:t>
      </w:r>
    </w:p>
    <w:p w14:paraId="20BA89B4" w14:textId="77777777" w:rsidR="00C64BA1" w:rsidRDefault="00C64BA1" w:rsidP="008962CE"/>
    <w:p w14:paraId="3D28B186" w14:textId="047DDB61" w:rsidR="003E676F" w:rsidRDefault="008962CE" w:rsidP="008962CE">
      <w:r>
        <w:t xml:space="preserve">The following table </w:t>
      </w:r>
      <w:r w:rsidR="00C64BA1">
        <w:t xml:space="preserve">summarises </w:t>
      </w:r>
      <w:r>
        <w:t xml:space="preserve">comments </w:t>
      </w:r>
      <w:r w:rsidR="00C64BA1">
        <w:t>from</w:t>
      </w:r>
      <w:r>
        <w:t xml:space="preserve"> submitters on implementation matters. </w:t>
      </w:r>
      <w:r w:rsidR="003E676F">
        <w:t>Column 2 indicates the broad stakeholder group that raised the point. There may be some within that stakeholder group with a divergent view.</w:t>
      </w:r>
    </w:p>
    <w:p w14:paraId="17C27348" w14:textId="77777777" w:rsidR="003E676F" w:rsidRDefault="003E676F" w:rsidP="008962CE"/>
    <w:p w14:paraId="6E2645A0" w14:textId="32EF3E1F" w:rsidR="008962CE" w:rsidRDefault="008962CE" w:rsidP="008962CE">
      <w:pPr>
        <w:rPr>
          <w:rFonts w:cs="Arial"/>
          <w:sz w:val="20"/>
          <w:szCs w:val="20"/>
        </w:rPr>
      </w:pPr>
      <w:r>
        <w:t>A</w:t>
      </w:r>
      <w:r w:rsidRPr="58A14E8B">
        <w:rPr>
          <w:rFonts w:eastAsiaTheme="minorEastAsia"/>
        </w:rPr>
        <w:t xml:space="preserve"> national jurisdictional </w:t>
      </w:r>
      <w:r w:rsidR="00C64BA1">
        <w:rPr>
          <w:rFonts w:eastAsiaTheme="minorEastAsia"/>
        </w:rPr>
        <w:t xml:space="preserve">food safety management implementation </w:t>
      </w:r>
      <w:r w:rsidRPr="58A14E8B">
        <w:rPr>
          <w:rFonts w:eastAsiaTheme="minorEastAsia"/>
        </w:rPr>
        <w:t xml:space="preserve">working group (IWG) has been convened to discuss implementation so that should the </w:t>
      </w:r>
      <w:r w:rsidR="00706F8E">
        <w:rPr>
          <w:rFonts w:eastAsiaTheme="minorEastAsia"/>
        </w:rPr>
        <w:t>approved dra</w:t>
      </w:r>
      <w:r w:rsidR="00B51AA5">
        <w:rPr>
          <w:rFonts w:eastAsiaTheme="minorEastAsia"/>
        </w:rPr>
        <w:t>f</w:t>
      </w:r>
      <w:r w:rsidR="00706F8E">
        <w:rPr>
          <w:rFonts w:eastAsiaTheme="minorEastAsia"/>
        </w:rPr>
        <w:t>t</w:t>
      </w:r>
      <w:r w:rsidR="00706F8E" w:rsidRPr="58A14E8B">
        <w:rPr>
          <w:rFonts w:eastAsiaTheme="minorEastAsia"/>
        </w:rPr>
        <w:t xml:space="preserve"> </w:t>
      </w:r>
      <w:r w:rsidRPr="58A14E8B">
        <w:rPr>
          <w:rFonts w:eastAsiaTheme="minorEastAsia"/>
        </w:rPr>
        <w:t xml:space="preserve">Standard 3.2.2A be </w:t>
      </w:r>
      <w:r w:rsidR="00706F8E">
        <w:rPr>
          <w:rFonts w:eastAsiaTheme="minorEastAsia"/>
        </w:rPr>
        <w:t>endorsed</w:t>
      </w:r>
      <w:r w:rsidR="00706F8E" w:rsidRPr="58A14E8B">
        <w:rPr>
          <w:rFonts w:eastAsiaTheme="minorEastAsia"/>
        </w:rPr>
        <w:t xml:space="preserve"> </w:t>
      </w:r>
      <w:r w:rsidRPr="58A14E8B">
        <w:rPr>
          <w:rFonts w:eastAsiaTheme="minorEastAsia"/>
        </w:rPr>
        <w:t>by Ministers, national guidance is readily available within Safe Food Australia.</w:t>
      </w:r>
      <w:r w:rsidR="003E676F">
        <w:rPr>
          <w:rFonts w:eastAsiaTheme="minorEastAsia"/>
        </w:rPr>
        <w:t xml:space="preserve"> </w:t>
      </w:r>
      <w:r w:rsidRPr="58A14E8B">
        <w:rPr>
          <w:rFonts w:eastAsiaTheme="minorEastAsia"/>
        </w:rPr>
        <w:t>Submitters also provided comment on the draft guide provided as SD3 in the call for submissions package. These have also been provided to the IWG for consideration. FSANZ will also consider these comments when updating guidance in Safe Food Australia.</w:t>
      </w:r>
    </w:p>
    <w:p w14:paraId="72F87E9A" w14:textId="77777777" w:rsidR="00337A02" w:rsidRDefault="00337A02" w:rsidP="008962CE"/>
    <w:tbl>
      <w:tblPr>
        <w:tblW w:w="14737" w:type="dxa"/>
        <w:tblLook w:val="04A0" w:firstRow="1" w:lastRow="0" w:firstColumn="1" w:lastColumn="0" w:noHBand="0" w:noVBand="1"/>
      </w:tblPr>
      <w:tblGrid>
        <w:gridCol w:w="6357"/>
        <w:gridCol w:w="101"/>
        <w:gridCol w:w="1480"/>
        <w:gridCol w:w="6799"/>
      </w:tblGrid>
      <w:tr w:rsidR="003E676F" w:rsidRPr="00CF23F2" w14:paraId="522E3421" w14:textId="77777777" w:rsidTr="00FD5F2E">
        <w:trPr>
          <w:tblHeader/>
        </w:trPr>
        <w:tc>
          <w:tcPr>
            <w:tcW w:w="6458" w:type="dxa"/>
            <w:gridSpan w:val="2"/>
            <w:shd w:val="clear" w:color="auto" w:fill="17365D" w:themeFill="text2" w:themeFillShade="BF"/>
          </w:tcPr>
          <w:p w14:paraId="10EC9BFE" w14:textId="264CEF81" w:rsidR="003E676F" w:rsidRPr="003E676F" w:rsidRDefault="003E676F" w:rsidP="003E676F">
            <w:r w:rsidRPr="003E676F">
              <w:rPr>
                <w:rFonts w:cs="Arial"/>
                <w:b/>
                <w:szCs w:val="20"/>
              </w:rPr>
              <w:t>Issue/comment</w:t>
            </w:r>
          </w:p>
        </w:tc>
        <w:tc>
          <w:tcPr>
            <w:tcW w:w="1480" w:type="dxa"/>
            <w:shd w:val="clear" w:color="auto" w:fill="17365D" w:themeFill="text2" w:themeFillShade="BF"/>
          </w:tcPr>
          <w:p w14:paraId="60291EBC" w14:textId="301572AA" w:rsidR="003E676F" w:rsidRPr="003E676F" w:rsidRDefault="003E676F" w:rsidP="003E676F">
            <w:pPr>
              <w:rPr>
                <w:rFonts w:cs="Arial"/>
                <w:szCs w:val="20"/>
              </w:rPr>
            </w:pPr>
            <w:r w:rsidRPr="003E676F">
              <w:rPr>
                <w:rFonts w:cs="Arial"/>
                <w:b/>
                <w:szCs w:val="20"/>
              </w:rPr>
              <w:t>From</w:t>
            </w:r>
          </w:p>
        </w:tc>
        <w:tc>
          <w:tcPr>
            <w:tcW w:w="6799" w:type="dxa"/>
            <w:shd w:val="clear" w:color="auto" w:fill="17365D" w:themeFill="text2" w:themeFillShade="BF"/>
          </w:tcPr>
          <w:p w14:paraId="248D0CBB" w14:textId="23B3082A" w:rsidR="003E676F" w:rsidRPr="003E676F" w:rsidRDefault="003E676F" w:rsidP="003E676F">
            <w:pPr>
              <w:rPr>
                <w:rFonts w:cs="Arial"/>
                <w:szCs w:val="20"/>
              </w:rPr>
            </w:pPr>
            <w:r w:rsidRPr="003E676F">
              <w:rPr>
                <w:rFonts w:cs="Arial"/>
                <w:b/>
                <w:szCs w:val="20"/>
              </w:rPr>
              <w:t>Response</w:t>
            </w:r>
          </w:p>
        </w:tc>
      </w:tr>
      <w:tr w:rsidR="003E676F" w:rsidRPr="00CF23F2" w14:paraId="54976BD9" w14:textId="77777777" w:rsidTr="00B61BE2">
        <w:tc>
          <w:tcPr>
            <w:tcW w:w="14737" w:type="dxa"/>
            <w:gridSpan w:val="4"/>
            <w:shd w:val="clear" w:color="auto" w:fill="C6D9F1" w:themeFill="text2" w:themeFillTint="33"/>
          </w:tcPr>
          <w:p w14:paraId="04A97B43" w14:textId="77777777" w:rsidR="003E676F" w:rsidRPr="003E676F" w:rsidRDefault="003E676F" w:rsidP="003E676F">
            <w:pPr>
              <w:rPr>
                <w:rFonts w:cs="Arial"/>
                <w:sz w:val="20"/>
                <w:szCs w:val="20"/>
              </w:rPr>
            </w:pPr>
            <w:r w:rsidRPr="58A14E8B">
              <w:rPr>
                <w:rFonts w:cs="Arial"/>
                <w:b/>
                <w:bCs/>
                <w:sz w:val="20"/>
                <w:szCs w:val="20"/>
              </w:rPr>
              <w:t>National consistency</w:t>
            </w:r>
          </w:p>
          <w:p w14:paraId="53EA0A3B" w14:textId="616F44A6" w:rsidR="003E676F" w:rsidRPr="58A14E8B" w:rsidRDefault="003E676F" w:rsidP="003A458A">
            <w:pPr>
              <w:rPr>
                <w:rFonts w:cs="Arial"/>
                <w:sz w:val="20"/>
                <w:szCs w:val="20"/>
              </w:rPr>
            </w:pPr>
          </w:p>
        </w:tc>
      </w:tr>
      <w:tr w:rsidR="008962CE" w:rsidRPr="00CF23F2" w14:paraId="405F506D" w14:textId="77777777" w:rsidTr="00FD5F2E">
        <w:tc>
          <w:tcPr>
            <w:tcW w:w="6458" w:type="dxa"/>
            <w:gridSpan w:val="2"/>
          </w:tcPr>
          <w:p w14:paraId="2AC91326" w14:textId="77777777" w:rsidR="008962CE" w:rsidRPr="00B218F0" w:rsidRDefault="008962CE" w:rsidP="00614AF5">
            <w:pPr>
              <w:pStyle w:val="ListParagraph"/>
              <w:numPr>
                <w:ilvl w:val="0"/>
                <w:numId w:val="14"/>
              </w:numPr>
              <w:rPr>
                <w:rFonts w:cs="Arial"/>
                <w:sz w:val="20"/>
                <w:szCs w:val="20"/>
              </w:rPr>
            </w:pPr>
            <w:r w:rsidRPr="00B218F0">
              <w:rPr>
                <w:rFonts w:cs="Arial"/>
                <w:sz w:val="20"/>
                <w:szCs w:val="20"/>
              </w:rPr>
              <w:t>EHOs will need training and further details on new requirements and nationally consistent enforcement approach.</w:t>
            </w:r>
          </w:p>
          <w:p w14:paraId="7EF05053" w14:textId="77777777" w:rsidR="008962CE" w:rsidRPr="00B218F0" w:rsidRDefault="008962CE" w:rsidP="00614AF5">
            <w:pPr>
              <w:pStyle w:val="ListParagraph"/>
              <w:numPr>
                <w:ilvl w:val="0"/>
                <w:numId w:val="14"/>
              </w:numPr>
              <w:rPr>
                <w:rFonts w:cs="Arial"/>
                <w:sz w:val="20"/>
                <w:szCs w:val="20"/>
              </w:rPr>
            </w:pPr>
            <w:r w:rsidRPr="58A14E8B">
              <w:rPr>
                <w:rFonts w:cs="Arial"/>
                <w:sz w:val="20"/>
                <w:szCs w:val="20"/>
              </w:rPr>
              <w:t>To provide national consistency, national enforcement guidance tools should be developed and incorporated into local councils enforcement policies. A mechanism to monitor consistency would be desirable.</w:t>
            </w:r>
          </w:p>
          <w:p w14:paraId="644670D8" w14:textId="77777777" w:rsidR="008962CE" w:rsidRPr="00B218F0" w:rsidRDefault="008962CE" w:rsidP="00614AF5">
            <w:pPr>
              <w:pStyle w:val="ListParagraph"/>
              <w:numPr>
                <w:ilvl w:val="0"/>
                <w:numId w:val="14"/>
              </w:numPr>
              <w:rPr>
                <w:rFonts w:cs="Arial"/>
                <w:sz w:val="20"/>
                <w:szCs w:val="20"/>
              </w:rPr>
            </w:pPr>
            <w:r w:rsidRPr="58A14E8B">
              <w:rPr>
                <w:rFonts w:cs="Arial"/>
                <w:sz w:val="20"/>
                <w:szCs w:val="20"/>
              </w:rPr>
              <w:t>A nationally consistent food business registration system is encouraged to support consistent application.</w:t>
            </w:r>
          </w:p>
          <w:p w14:paraId="7D63EF7F" w14:textId="77777777" w:rsidR="008962CE" w:rsidRPr="00B218F0" w:rsidRDefault="008962CE" w:rsidP="003A458A">
            <w:pPr>
              <w:rPr>
                <w:rFonts w:cs="Arial"/>
                <w:sz w:val="20"/>
                <w:szCs w:val="20"/>
              </w:rPr>
            </w:pPr>
          </w:p>
        </w:tc>
        <w:tc>
          <w:tcPr>
            <w:tcW w:w="1480" w:type="dxa"/>
          </w:tcPr>
          <w:p w14:paraId="7DE7E3F4" w14:textId="7FFBADD8" w:rsidR="008962CE" w:rsidRPr="00CF23F2" w:rsidRDefault="006B11F0" w:rsidP="003A458A">
            <w:pPr>
              <w:rPr>
                <w:rFonts w:cs="Arial"/>
                <w:sz w:val="20"/>
                <w:szCs w:val="20"/>
              </w:rPr>
            </w:pPr>
            <w:r>
              <w:rPr>
                <w:rFonts w:cs="Arial"/>
                <w:sz w:val="20"/>
                <w:szCs w:val="20"/>
              </w:rPr>
              <w:t>local council</w:t>
            </w:r>
          </w:p>
        </w:tc>
        <w:tc>
          <w:tcPr>
            <w:tcW w:w="6799" w:type="dxa"/>
          </w:tcPr>
          <w:p w14:paraId="4420FB8E" w14:textId="77777777" w:rsidR="008962CE" w:rsidRPr="00CF23F2" w:rsidRDefault="008962CE" w:rsidP="003A458A">
            <w:pPr>
              <w:rPr>
                <w:rFonts w:cs="Arial"/>
                <w:sz w:val="20"/>
                <w:szCs w:val="20"/>
              </w:rPr>
            </w:pPr>
            <w:r w:rsidRPr="58A14E8B">
              <w:rPr>
                <w:rFonts w:cs="Arial"/>
                <w:sz w:val="20"/>
                <w:szCs w:val="20"/>
              </w:rPr>
              <w:t>There are guidance tools already developed by state/territory and local governments (in those jurisdictions where one or more of these tools have been implemented). The 12-month transition time provides opportunity to further develop tools to address any gaps in guidance material. The national IWG has committed to sharing resources and making them available nationally.</w:t>
            </w:r>
          </w:p>
        </w:tc>
      </w:tr>
      <w:tr w:rsidR="008962CE" w14:paraId="03A0D2B1" w14:textId="77777777" w:rsidTr="00FD5F2E">
        <w:tc>
          <w:tcPr>
            <w:tcW w:w="6458" w:type="dxa"/>
            <w:gridSpan w:val="2"/>
          </w:tcPr>
          <w:p w14:paraId="239D3746" w14:textId="77777777" w:rsidR="008962CE" w:rsidRDefault="008962CE" w:rsidP="00614AF5">
            <w:pPr>
              <w:pStyle w:val="ListParagraph"/>
              <w:numPr>
                <w:ilvl w:val="0"/>
                <w:numId w:val="14"/>
              </w:numPr>
              <w:rPr>
                <w:rFonts w:cs="Arial"/>
                <w:sz w:val="20"/>
                <w:szCs w:val="20"/>
              </w:rPr>
            </w:pPr>
            <w:r w:rsidRPr="58A14E8B">
              <w:rPr>
                <w:rFonts w:cs="Arial"/>
                <w:sz w:val="20"/>
                <w:szCs w:val="20"/>
              </w:rPr>
              <w:lastRenderedPageBreak/>
              <w:t xml:space="preserve">Consider using best available science to create a risk framework supporting proper and consistent regulation. </w:t>
            </w:r>
          </w:p>
        </w:tc>
        <w:tc>
          <w:tcPr>
            <w:tcW w:w="1480" w:type="dxa"/>
          </w:tcPr>
          <w:p w14:paraId="615E2B74" w14:textId="77777777" w:rsidR="008962CE" w:rsidRDefault="008962CE" w:rsidP="003A458A">
            <w:pPr>
              <w:rPr>
                <w:rFonts w:cs="Arial"/>
                <w:sz w:val="20"/>
                <w:szCs w:val="20"/>
              </w:rPr>
            </w:pPr>
            <w:r w:rsidRPr="724B7FB2">
              <w:rPr>
                <w:rFonts w:cs="Arial"/>
                <w:sz w:val="20"/>
                <w:szCs w:val="20"/>
              </w:rPr>
              <w:t>local council</w:t>
            </w:r>
          </w:p>
        </w:tc>
        <w:tc>
          <w:tcPr>
            <w:tcW w:w="6799" w:type="dxa"/>
          </w:tcPr>
          <w:p w14:paraId="74B5F5BA" w14:textId="77777777" w:rsidR="008962CE" w:rsidRDefault="008962CE" w:rsidP="003A458A">
            <w:pPr>
              <w:rPr>
                <w:rFonts w:cs="Arial"/>
                <w:sz w:val="20"/>
                <w:szCs w:val="20"/>
              </w:rPr>
            </w:pPr>
            <w:r w:rsidRPr="58A14E8B">
              <w:rPr>
                <w:rFonts w:cs="Arial"/>
                <w:sz w:val="20"/>
                <w:szCs w:val="20"/>
              </w:rPr>
              <w:t>A national risk profiling framework has been developed, but has not been adopted within all jurisdictions. This framework was reviewed during FSANZ risk profiling work. Adoption of the national risk profiling framework is a matter for jurisdictions.</w:t>
            </w:r>
          </w:p>
        </w:tc>
      </w:tr>
      <w:tr w:rsidR="008962CE" w14:paraId="0B1E52C4" w14:textId="77777777" w:rsidTr="00B61BE2">
        <w:trPr>
          <w:trHeight w:val="399"/>
        </w:trPr>
        <w:tc>
          <w:tcPr>
            <w:tcW w:w="14737" w:type="dxa"/>
            <w:gridSpan w:val="4"/>
            <w:shd w:val="clear" w:color="auto" w:fill="C6D9F1" w:themeFill="text2" w:themeFillTint="33"/>
          </w:tcPr>
          <w:p w14:paraId="4BBF75FD" w14:textId="77777777" w:rsidR="008962CE" w:rsidRDefault="008962CE" w:rsidP="003A458A">
            <w:pPr>
              <w:rPr>
                <w:rFonts w:cs="Arial"/>
                <w:b/>
                <w:bCs/>
                <w:sz w:val="20"/>
                <w:szCs w:val="20"/>
              </w:rPr>
            </w:pPr>
            <w:r w:rsidRPr="58A14E8B">
              <w:rPr>
                <w:rFonts w:cs="Arial"/>
                <w:b/>
                <w:bCs/>
                <w:sz w:val="20"/>
                <w:szCs w:val="20"/>
              </w:rPr>
              <w:t>Additional burden</w:t>
            </w:r>
          </w:p>
        </w:tc>
      </w:tr>
      <w:tr w:rsidR="008962CE" w:rsidRPr="00CF23F2" w14:paraId="4D875E36" w14:textId="77777777" w:rsidTr="00FD5F2E">
        <w:tc>
          <w:tcPr>
            <w:tcW w:w="6458" w:type="dxa"/>
            <w:gridSpan w:val="2"/>
          </w:tcPr>
          <w:p w14:paraId="0209A12F" w14:textId="77777777" w:rsidR="008962CE" w:rsidRPr="00B218F0" w:rsidRDefault="008962CE" w:rsidP="00614AF5">
            <w:pPr>
              <w:pStyle w:val="ListParagraph"/>
              <w:numPr>
                <w:ilvl w:val="0"/>
                <w:numId w:val="15"/>
              </w:numPr>
              <w:rPr>
                <w:rFonts w:cs="Arial"/>
                <w:sz w:val="20"/>
                <w:szCs w:val="20"/>
              </w:rPr>
            </w:pPr>
            <w:r w:rsidRPr="58A14E8B">
              <w:rPr>
                <w:rFonts w:cs="Arial"/>
                <w:sz w:val="20"/>
                <w:szCs w:val="20"/>
              </w:rPr>
              <w:t>Additional inspection time (and additional follow up inspections) and time spent educating businesses is an issue especially for authorised officers already at capacity – will need to ensure sufficient resourcing and upskilling.</w:t>
            </w:r>
          </w:p>
          <w:p w14:paraId="46792944" w14:textId="77777777" w:rsidR="008962CE" w:rsidRPr="00CF23F2" w:rsidRDefault="008962CE" w:rsidP="00614AF5">
            <w:pPr>
              <w:pStyle w:val="ListParagraph"/>
              <w:numPr>
                <w:ilvl w:val="0"/>
                <w:numId w:val="15"/>
              </w:numPr>
              <w:rPr>
                <w:rFonts w:cs="Arial"/>
                <w:sz w:val="20"/>
                <w:szCs w:val="20"/>
              </w:rPr>
            </w:pPr>
            <w:r w:rsidRPr="58A14E8B">
              <w:rPr>
                <w:rFonts w:cs="Arial"/>
                <w:sz w:val="20"/>
                <w:szCs w:val="20"/>
              </w:rPr>
              <w:t>Inspection fees may need/likely to be increased.</w:t>
            </w:r>
          </w:p>
          <w:p w14:paraId="31310174" w14:textId="77777777" w:rsidR="008962CE" w:rsidRPr="00CF23F2" w:rsidRDefault="008962CE" w:rsidP="00614AF5">
            <w:pPr>
              <w:pStyle w:val="ListParagraph"/>
              <w:numPr>
                <w:ilvl w:val="0"/>
                <w:numId w:val="15"/>
              </w:numPr>
              <w:rPr>
                <w:rFonts w:cs="Arial"/>
                <w:sz w:val="20"/>
                <w:szCs w:val="20"/>
              </w:rPr>
            </w:pPr>
            <w:r w:rsidRPr="58A14E8B">
              <w:rPr>
                <w:rFonts w:cs="Arial"/>
                <w:sz w:val="20"/>
                <w:szCs w:val="20"/>
              </w:rPr>
              <w:t>Despite the short-term administrative burden, there are long-term benefits with a continual development of a positive food safety culture through improved food safety knowledge, food safety practices, and illness reduction.</w:t>
            </w:r>
          </w:p>
        </w:tc>
        <w:tc>
          <w:tcPr>
            <w:tcW w:w="1480" w:type="dxa"/>
          </w:tcPr>
          <w:p w14:paraId="40119143"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7CFE942C" w14:textId="77777777" w:rsidR="008962CE" w:rsidRPr="00CF23F2" w:rsidRDefault="008962CE" w:rsidP="003A458A">
            <w:pPr>
              <w:rPr>
                <w:rFonts w:cs="Arial"/>
                <w:sz w:val="20"/>
                <w:szCs w:val="20"/>
              </w:rPr>
            </w:pPr>
            <w:r w:rsidRPr="58A14E8B">
              <w:rPr>
                <w:rFonts w:cs="Arial"/>
                <w:sz w:val="20"/>
                <w:szCs w:val="20"/>
              </w:rPr>
              <w:t>FSANZ prepared a DRIS which identifies a cost neutral effect on government for implementation of the proposed standard over a 10 year period.</w:t>
            </w:r>
          </w:p>
        </w:tc>
      </w:tr>
      <w:tr w:rsidR="008962CE" w:rsidRPr="00CF23F2" w14:paraId="58253CCE" w14:textId="77777777" w:rsidTr="00FD5F2E">
        <w:tc>
          <w:tcPr>
            <w:tcW w:w="6458" w:type="dxa"/>
            <w:gridSpan w:val="2"/>
          </w:tcPr>
          <w:p w14:paraId="7D6E4959" w14:textId="7C3F6E84" w:rsidR="008962CE" w:rsidRPr="00C30971" w:rsidRDefault="008962CE" w:rsidP="003A458A">
            <w:pPr>
              <w:pStyle w:val="ListParagraph"/>
              <w:numPr>
                <w:ilvl w:val="0"/>
                <w:numId w:val="14"/>
              </w:numPr>
              <w:rPr>
                <w:rFonts w:cs="Arial"/>
                <w:sz w:val="20"/>
                <w:szCs w:val="20"/>
              </w:rPr>
            </w:pPr>
            <w:r w:rsidRPr="58A14E8B">
              <w:rPr>
                <w:rFonts w:cs="Arial"/>
                <w:sz w:val="20"/>
                <w:szCs w:val="20"/>
              </w:rPr>
              <w:t>It will be a challenge for regulators assessing businesses with non</w:t>
            </w:r>
            <w:r w:rsidRPr="58A14E8B">
              <w:rPr>
                <w:rFonts w:ascii="Cambria Math" w:hAnsi="Cambria Math" w:cs="Cambria Math"/>
                <w:sz w:val="20"/>
                <w:szCs w:val="20"/>
              </w:rPr>
              <w:t>‐</w:t>
            </w:r>
            <w:r w:rsidRPr="58A14E8B">
              <w:rPr>
                <w:rFonts w:cs="Arial"/>
                <w:sz w:val="20"/>
                <w:szCs w:val="20"/>
              </w:rPr>
              <w:t>English speaking staff – language barrier, records/SOPs in languages other than English.</w:t>
            </w:r>
          </w:p>
        </w:tc>
        <w:tc>
          <w:tcPr>
            <w:tcW w:w="1480" w:type="dxa"/>
          </w:tcPr>
          <w:p w14:paraId="0B00D1CC" w14:textId="2189DEE7" w:rsidR="008962CE" w:rsidRPr="00CF23F2" w:rsidRDefault="008962CE" w:rsidP="003A458A">
            <w:pPr>
              <w:rPr>
                <w:rFonts w:cs="Arial"/>
                <w:sz w:val="20"/>
                <w:szCs w:val="20"/>
              </w:rPr>
            </w:pPr>
            <w:r w:rsidRPr="00CF23F2">
              <w:rPr>
                <w:rFonts w:cs="Arial"/>
                <w:sz w:val="20"/>
                <w:szCs w:val="20"/>
              </w:rPr>
              <w:t>state/terr</w:t>
            </w:r>
            <w:r w:rsidR="006B11F0">
              <w:rPr>
                <w:rFonts w:cs="Arial"/>
                <w:sz w:val="20"/>
                <w:szCs w:val="20"/>
              </w:rPr>
              <w:t>itory government, local council</w:t>
            </w:r>
          </w:p>
        </w:tc>
        <w:tc>
          <w:tcPr>
            <w:tcW w:w="6799" w:type="dxa"/>
          </w:tcPr>
          <w:p w14:paraId="140D2A87" w14:textId="312C3318" w:rsidR="008962CE" w:rsidRPr="00CF23F2" w:rsidRDefault="008962CE" w:rsidP="003A458A">
            <w:pPr>
              <w:rPr>
                <w:rFonts w:cs="Arial"/>
                <w:sz w:val="20"/>
                <w:szCs w:val="20"/>
              </w:rPr>
            </w:pPr>
            <w:r w:rsidRPr="58A14E8B">
              <w:rPr>
                <w:rFonts w:cs="Arial"/>
                <w:sz w:val="20"/>
                <w:szCs w:val="20"/>
              </w:rPr>
              <w:t>FSANZ acknowledges these challenges. It is anticipated that guidance and tools to be developed will include languages other than English.</w:t>
            </w:r>
          </w:p>
        </w:tc>
      </w:tr>
      <w:tr w:rsidR="008962CE" w:rsidRPr="00CF23F2" w14:paraId="176066CC" w14:textId="77777777" w:rsidTr="00FD5F2E">
        <w:tc>
          <w:tcPr>
            <w:tcW w:w="6458" w:type="dxa"/>
            <w:gridSpan w:val="2"/>
          </w:tcPr>
          <w:p w14:paraId="279A9AC8" w14:textId="77777777" w:rsidR="008962CE" w:rsidRDefault="008962CE" w:rsidP="00614AF5">
            <w:pPr>
              <w:pStyle w:val="ListParagraph"/>
              <w:numPr>
                <w:ilvl w:val="0"/>
                <w:numId w:val="14"/>
              </w:numPr>
              <w:rPr>
                <w:rFonts w:cs="Arial"/>
                <w:sz w:val="20"/>
                <w:szCs w:val="20"/>
              </w:rPr>
            </w:pPr>
            <w:r w:rsidRPr="58A14E8B">
              <w:rPr>
                <w:rFonts w:cs="Arial"/>
                <w:sz w:val="20"/>
                <w:szCs w:val="20"/>
              </w:rPr>
              <w:t>Concern on the capacity of RTOs to deliver refresher/new FSS course, especially in areas which have completed FSS training greater than 5 years ago.</w:t>
            </w:r>
          </w:p>
        </w:tc>
        <w:tc>
          <w:tcPr>
            <w:tcW w:w="1480" w:type="dxa"/>
          </w:tcPr>
          <w:p w14:paraId="7130AC5E"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73517773" w14:textId="4AF55DD7" w:rsidR="008962CE" w:rsidRPr="00CF23F2" w:rsidRDefault="008962CE">
            <w:pPr>
              <w:rPr>
                <w:rFonts w:cs="Arial"/>
                <w:sz w:val="20"/>
                <w:szCs w:val="20"/>
              </w:rPr>
            </w:pPr>
            <w:r w:rsidRPr="58A14E8B">
              <w:rPr>
                <w:rFonts w:cs="Arial"/>
                <w:sz w:val="20"/>
                <w:szCs w:val="20"/>
              </w:rPr>
              <w:t xml:space="preserve">Noted – these comments will be forwarded to the IWG. </w:t>
            </w:r>
          </w:p>
        </w:tc>
      </w:tr>
      <w:tr w:rsidR="008962CE" w:rsidRPr="0009415F" w14:paraId="22C76499" w14:textId="77777777" w:rsidTr="00B61BE2">
        <w:tc>
          <w:tcPr>
            <w:tcW w:w="14737" w:type="dxa"/>
            <w:gridSpan w:val="4"/>
            <w:shd w:val="clear" w:color="auto" w:fill="C6D9F1" w:themeFill="text2" w:themeFillTint="33"/>
          </w:tcPr>
          <w:p w14:paraId="685468DD" w14:textId="77777777" w:rsidR="008962CE" w:rsidRPr="0009415F" w:rsidRDefault="008962CE" w:rsidP="003A458A">
            <w:pPr>
              <w:rPr>
                <w:rFonts w:cs="Arial"/>
                <w:b/>
                <w:sz w:val="20"/>
                <w:szCs w:val="20"/>
              </w:rPr>
            </w:pPr>
            <w:r>
              <w:rPr>
                <w:rFonts w:cs="Arial"/>
                <w:b/>
                <w:sz w:val="20"/>
                <w:szCs w:val="20"/>
              </w:rPr>
              <w:t xml:space="preserve">Implementation - </w:t>
            </w:r>
            <w:r w:rsidRPr="0009415F">
              <w:rPr>
                <w:rFonts w:cs="Arial"/>
                <w:b/>
                <w:sz w:val="20"/>
                <w:szCs w:val="20"/>
              </w:rPr>
              <w:t>F</w:t>
            </w:r>
            <w:r>
              <w:rPr>
                <w:rFonts w:cs="Arial"/>
                <w:b/>
                <w:sz w:val="20"/>
                <w:szCs w:val="20"/>
              </w:rPr>
              <w:t xml:space="preserve">ood </w:t>
            </w:r>
            <w:r w:rsidRPr="0009415F">
              <w:rPr>
                <w:rFonts w:cs="Arial"/>
                <w:b/>
                <w:sz w:val="20"/>
                <w:szCs w:val="20"/>
              </w:rPr>
              <w:t>S</w:t>
            </w:r>
            <w:r>
              <w:rPr>
                <w:rFonts w:cs="Arial"/>
                <w:b/>
                <w:sz w:val="20"/>
                <w:szCs w:val="20"/>
              </w:rPr>
              <w:t xml:space="preserve">afety </w:t>
            </w:r>
            <w:r w:rsidRPr="0009415F">
              <w:rPr>
                <w:rFonts w:cs="Arial"/>
                <w:b/>
                <w:sz w:val="20"/>
                <w:szCs w:val="20"/>
              </w:rPr>
              <w:t>S</w:t>
            </w:r>
            <w:r>
              <w:rPr>
                <w:rFonts w:cs="Arial"/>
                <w:b/>
                <w:sz w:val="20"/>
                <w:szCs w:val="20"/>
              </w:rPr>
              <w:t>upervisor (FSS)</w:t>
            </w:r>
          </w:p>
          <w:p w14:paraId="0947CE70" w14:textId="77777777" w:rsidR="008962CE" w:rsidRPr="0009415F" w:rsidRDefault="008962CE" w:rsidP="003A458A">
            <w:pPr>
              <w:rPr>
                <w:rFonts w:cs="Arial"/>
                <w:b/>
                <w:sz w:val="20"/>
                <w:szCs w:val="20"/>
              </w:rPr>
            </w:pPr>
          </w:p>
        </w:tc>
      </w:tr>
      <w:tr w:rsidR="008962CE" w:rsidRPr="00CF23F2" w14:paraId="26B50BF0" w14:textId="77777777" w:rsidTr="00FD5F2E">
        <w:tc>
          <w:tcPr>
            <w:tcW w:w="6458" w:type="dxa"/>
            <w:gridSpan w:val="2"/>
          </w:tcPr>
          <w:p w14:paraId="566B071D" w14:textId="77777777" w:rsidR="008962CE" w:rsidRDefault="008962CE" w:rsidP="003A458A">
            <w:pPr>
              <w:rPr>
                <w:rFonts w:cs="Arial"/>
                <w:sz w:val="20"/>
                <w:szCs w:val="20"/>
              </w:rPr>
            </w:pPr>
            <w:r w:rsidRPr="58A14E8B">
              <w:rPr>
                <w:rFonts w:cs="Arial"/>
                <w:sz w:val="20"/>
                <w:szCs w:val="20"/>
              </w:rPr>
              <w:t>‘</w:t>
            </w:r>
            <w:r w:rsidRPr="58A14E8B">
              <w:rPr>
                <w:rFonts w:cs="Arial"/>
                <w:b/>
                <w:bCs/>
                <w:sz w:val="20"/>
                <w:szCs w:val="20"/>
              </w:rPr>
              <w:t>Reasonably available’</w:t>
            </w:r>
            <w:r w:rsidRPr="58A14E8B">
              <w:rPr>
                <w:rFonts w:cs="Arial"/>
                <w:sz w:val="20"/>
                <w:szCs w:val="20"/>
              </w:rPr>
              <w:t xml:space="preserve"> comments were diverse</w:t>
            </w:r>
          </w:p>
          <w:p w14:paraId="62FCD2F4" w14:textId="77777777" w:rsidR="008962CE" w:rsidRPr="00B218F0" w:rsidRDefault="008962CE" w:rsidP="00614AF5">
            <w:pPr>
              <w:pStyle w:val="ListParagraph"/>
              <w:numPr>
                <w:ilvl w:val="0"/>
                <w:numId w:val="16"/>
              </w:numPr>
              <w:rPr>
                <w:rFonts w:cs="Arial"/>
                <w:sz w:val="20"/>
                <w:szCs w:val="20"/>
              </w:rPr>
            </w:pPr>
            <w:r w:rsidRPr="58A14E8B">
              <w:rPr>
                <w:rFonts w:cs="Arial"/>
                <w:sz w:val="20"/>
                <w:szCs w:val="20"/>
              </w:rPr>
              <w:t>‘Reasonably available’ will complement existing FSS obligations [in jurisdiction]; agree with ‘reasonably available’ requirement.</w:t>
            </w:r>
          </w:p>
          <w:p w14:paraId="5FEC3DC2" w14:textId="7950575B" w:rsidR="008962CE" w:rsidRPr="008C3E07" w:rsidRDefault="008962CE" w:rsidP="00614AF5">
            <w:pPr>
              <w:pStyle w:val="ListParagraph"/>
              <w:numPr>
                <w:ilvl w:val="0"/>
                <w:numId w:val="16"/>
              </w:numPr>
              <w:rPr>
                <w:rFonts w:cs="Arial"/>
                <w:sz w:val="20"/>
                <w:szCs w:val="20"/>
              </w:rPr>
            </w:pPr>
            <w:r w:rsidRPr="58A14E8B">
              <w:rPr>
                <w:rFonts w:cs="Arial"/>
                <w:sz w:val="20"/>
                <w:szCs w:val="20"/>
              </w:rPr>
              <w:t>‘Reasonably available’ / ‘oversee’ needs more robustness/clarification and minimal criteria to enable enforcement e.g. not just over the phone, or one FSS for multiple sites (e.g. franchises); should be current staff on/ frequently on site; include more than one FSS to cover leave</w:t>
            </w:r>
          </w:p>
        </w:tc>
        <w:tc>
          <w:tcPr>
            <w:tcW w:w="1480" w:type="dxa"/>
          </w:tcPr>
          <w:p w14:paraId="050A28E0" w14:textId="77777777" w:rsidR="008962CE" w:rsidRPr="00CF23F2" w:rsidRDefault="008962CE" w:rsidP="003A458A">
            <w:pPr>
              <w:rPr>
                <w:rFonts w:cs="Arial"/>
                <w:sz w:val="20"/>
                <w:szCs w:val="20"/>
              </w:rPr>
            </w:pPr>
            <w:r w:rsidRPr="58A14E8B">
              <w:rPr>
                <w:rFonts w:cs="Arial"/>
                <w:sz w:val="20"/>
                <w:szCs w:val="20"/>
              </w:rPr>
              <w:t>state/territory government, local council, service provider</w:t>
            </w:r>
          </w:p>
        </w:tc>
        <w:tc>
          <w:tcPr>
            <w:tcW w:w="6799" w:type="dxa"/>
          </w:tcPr>
          <w:p w14:paraId="71CED457" w14:textId="2744A668" w:rsidR="008962CE" w:rsidRPr="00CF23F2" w:rsidRDefault="008962CE">
            <w:pPr>
              <w:rPr>
                <w:rFonts w:cs="Arial"/>
                <w:sz w:val="20"/>
                <w:szCs w:val="20"/>
              </w:rPr>
            </w:pPr>
            <w:r w:rsidRPr="58A14E8B">
              <w:rPr>
                <w:rFonts w:cs="Arial"/>
                <w:sz w:val="20"/>
                <w:szCs w:val="20"/>
              </w:rPr>
              <w:t>Noted. FSANZ considers the proposed definition of ‘reasonably available’' to be suitable for the proposed Standard</w:t>
            </w:r>
            <w:r w:rsidR="00706F8E">
              <w:rPr>
                <w:rFonts w:cs="Arial"/>
                <w:sz w:val="20"/>
                <w:szCs w:val="20"/>
              </w:rPr>
              <w:t>, noting the existing use of the words ‘reasonable’ or ‘reasonably’ in other Standards of the Code. FSANZ is not aware of any evidence of a problems in this regard.</w:t>
            </w:r>
            <w:r w:rsidRPr="58A14E8B">
              <w:rPr>
                <w:rFonts w:cs="Arial"/>
                <w:sz w:val="20"/>
                <w:szCs w:val="20"/>
              </w:rPr>
              <w:t xml:space="preserve"> Further clarification on criteria used to assess ‘reasonably available’ is an implementation and </w:t>
            </w:r>
            <w:r w:rsidR="00C64BA1" w:rsidRPr="58A14E8B">
              <w:rPr>
                <w:rFonts w:cs="Arial"/>
                <w:sz w:val="20"/>
                <w:szCs w:val="20"/>
              </w:rPr>
              <w:t>these comments will be forwarded to the IWG</w:t>
            </w:r>
            <w:r w:rsidRPr="58A14E8B">
              <w:rPr>
                <w:rFonts w:cs="Arial"/>
                <w:sz w:val="20"/>
                <w:szCs w:val="20"/>
              </w:rPr>
              <w:t>.</w:t>
            </w:r>
          </w:p>
        </w:tc>
      </w:tr>
      <w:tr w:rsidR="008962CE" w:rsidRPr="00CF23F2" w14:paraId="09BCE555" w14:textId="77777777" w:rsidTr="00FD5F2E">
        <w:tc>
          <w:tcPr>
            <w:tcW w:w="6458" w:type="dxa"/>
            <w:gridSpan w:val="2"/>
          </w:tcPr>
          <w:p w14:paraId="0A97B342" w14:textId="77777777" w:rsidR="008962CE" w:rsidRDefault="008962CE" w:rsidP="003A458A">
            <w:pPr>
              <w:rPr>
                <w:rFonts w:cs="Arial"/>
                <w:sz w:val="20"/>
                <w:szCs w:val="20"/>
              </w:rPr>
            </w:pPr>
            <w:r w:rsidRPr="58A14E8B">
              <w:rPr>
                <w:rFonts w:cs="Arial"/>
                <w:b/>
                <w:bCs/>
                <w:sz w:val="20"/>
                <w:szCs w:val="20"/>
              </w:rPr>
              <w:t>Course consistency and format</w:t>
            </w:r>
            <w:r w:rsidRPr="58A14E8B">
              <w:rPr>
                <w:rFonts w:cs="Arial"/>
                <w:sz w:val="20"/>
                <w:szCs w:val="20"/>
              </w:rPr>
              <w:t xml:space="preserve"> </w:t>
            </w:r>
          </w:p>
          <w:p w14:paraId="78C49FDF" w14:textId="77777777" w:rsidR="008962CE" w:rsidRDefault="008962CE" w:rsidP="00614AF5">
            <w:pPr>
              <w:pStyle w:val="ListParagraph"/>
              <w:numPr>
                <w:ilvl w:val="0"/>
                <w:numId w:val="18"/>
              </w:numPr>
              <w:rPr>
                <w:rFonts w:cs="Arial"/>
                <w:sz w:val="20"/>
                <w:szCs w:val="20"/>
              </w:rPr>
            </w:pPr>
            <w:r>
              <w:rPr>
                <w:rFonts w:cs="Arial"/>
                <w:sz w:val="20"/>
                <w:szCs w:val="20"/>
              </w:rPr>
              <w:t xml:space="preserve">Training should </w:t>
            </w:r>
            <w:r w:rsidRPr="00B218F0">
              <w:rPr>
                <w:rFonts w:cs="Arial"/>
                <w:sz w:val="20"/>
                <w:szCs w:val="20"/>
              </w:rPr>
              <w:t>be an external course,</w:t>
            </w:r>
            <w:r w:rsidRPr="00B218F0" w:rsidDel="009B383E">
              <w:rPr>
                <w:rFonts w:cs="Arial"/>
                <w:sz w:val="20"/>
                <w:szCs w:val="20"/>
              </w:rPr>
              <w:t xml:space="preserve"> </w:t>
            </w:r>
            <w:r>
              <w:rPr>
                <w:rFonts w:cs="Arial"/>
                <w:sz w:val="20"/>
                <w:szCs w:val="20"/>
              </w:rPr>
              <w:t xml:space="preserve">for consistency and to make it </w:t>
            </w:r>
            <w:r w:rsidRPr="00B218F0">
              <w:rPr>
                <w:rFonts w:cs="Arial"/>
                <w:sz w:val="20"/>
                <w:szCs w:val="20"/>
              </w:rPr>
              <w:t>easier to verify</w:t>
            </w:r>
            <w:r>
              <w:rPr>
                <w:rFonts w:cs="Arial"/>
                <w:sz w:val="20"/>
                <w:szCs w:val="20"/>
              </w:rPr>
              <w:t>.</w:t>
            </w:r>
          </w:p>
          <w:p w14:paraId="2A36375B" w14:textId="77777777" w:rsidR="008962CE" w:rsidRDefault="008962CE" w:rsidP="00614AF5">
            <w:pPr>
              <w:pStyle w:val="ListParagraph"/>
              <w:numPr>
                <w:ilvl w:val="0"/>
                <w:numId w:val="18"/>
              </w:numPr>
              <w:rPr>
                <w:rFonts w:cs="Arial"/>
                <w:sz w:val="20"/>
                <w:szCs w:val="20"/>
              </w:rPr>
            </w:pPr>
            <w:r>
              <w:rPr>
                <w:rFonts w:cs="Arial"/>
                <w:sz w:val="20"/>
                <w:szCs w:val="20"/>
              </w:rPr>
              <w:t>M</w:t>
            </w:r>
            <w:r w:rsidRPr="00D519C2">
              <w:rPr>
                <w:rFonts w:cs="Arial"/>
                <w:sz w:val="20"/>
                <w:szCs w:val="20"/>
              </w:rPr>
              <w:t xml:space="preserve">aintain regulatory verification. </w:t>
            </w:r>
          </w:p>
          <w:p w14:paraId="7CF675F2" w14:textId="77777777" w:rsidR="008962CE" w:rsidRPr="00B218F0" w:rsidRDefault="008962CE" w:rsidP="00614AF5">
            <w:pPr>
              <w:pStyle w:val="ListParagraph"/>
              <w:numPr>
                <w:ilvl w:val="0"/>
                <w:numId w:val="18"/>
              </w:numPr>
              <w:rPr>
                <w:rFonts w:cs="Arial"/>
                <w:sz w:val="20"/>
                <w:szCs w:val="20"/>
              </w:rPr>
            </w:pPr>
            <w:r w:rsidRPr="58A14E8B">
              <w:rPr>
                <w:rFonts w:cs="Arial"/>
                <w:sz w:val="20"/>
                <w:szCs w:val="20"/>
              </w:rPr>
              <w:lastRenderedPageBreak/>
              <w:t xml:space="preserve">Have an assessment/approval process to ensure RTOs teach an adequate course and FSS have necessary skills and knowledge on completion. </w:t>
            </w:r>
          </w:p>
          <w:p w14:paraId="1617C798" w14:textId="77777777" w:rsidR="008962CE" w:rsidRDefault="008962CE" w:rsidP="00614AF5">
            <w:pPr>
              <w:pStyle w:val="ListParagraph"/>
              <w:numPr>
                <w:ilvl w:val="0"/>
                <w:numId w:val="18"/>
              </w:numPr>
              <w:rPr>
                <w:rFonts w:cs="Arial"/>
                <w:sz w:val="20"/>
                <w:szCs w:val="20"/>
              </w:rPr>
            </w:pPr>
            <w:r w:rsidRPr="58A14E8B">
              <w:rPr>
                <w:rFonts w:cs="Arial"/>
                <w:sz w:val="20"/>
                <w:szCs w:val="20"/>
              </w:rPr>
              <w:t xml:space="preserve">Include face-to-face, online options, options for remote communities, different languages. </w:t>
            </w:r>
          </w:p>
          <w:p w14:paraId="197B1DD3" w14:textId="45EF6FA3" w:rsidR="008962CE" w:rsidRPr="00CF23F2" w:rsidRDefault="008962CE" w:rsidP="00614AF5">
            <w:pPr>
              <w:pStyle w:val="ListParagraph"/>
              <w:numPr>
                <w:ilvl w:val="0"/>
                <w:numId w:val="18"/>
              </w:numPr>
              <w:rPr>
                <w:rFonts w:cs="Arial"/>
                <w:sz w:val="20"/>
                <w:szCs w:val="20"/>
              </w:rPr>
            </w:pPr>
            <w:r w:rsidRPr="58A14E8B">
              <w:rPr>
                <w:rFonts w:cs="Arial"/>
                <w:sz w:val="20"/>
                <w:szCs w:val="20"/>
              </w:rPr>
              <w:t>Include aged care, on-site food safety program, supervisory skills</w:t>
            </w:r>
          </w:p>
        </w:tc>
        <w:tc>
          <w:tcPr>
            <w:tcW w:w="1480" w:type="dxa"/>
          </w:tcPr>
          <w:p w14:paraId="2333DBE1" w14:textId="77777777" w:rsidR="008962CE" w:rsidRPr="00CF23F2" w:rsidRDefault="008962CE" w:rsidP="003A458A">
            <w:pPr>
              <w:rPr>
                <w:rFonts w:cs="Arial"/>
                <w:sz w:val="20"/>
                <w:szCs w:val="20"/>
              </w:rPr>
            </w:pPr>
            <w:r w:rsidRPr="58A14E8B">
              <w:rPr>
                <w:rFonts w:cs="Arial"/>
                <w:sz w:val="20"/>
                <w:szCs w:val="20"/>
              </w:rPr>
              <w:lastRenderedPageBreak/>
              <w:t>state/territory government, local council, service provider, advocacy group</w:t>
            </w:r>
          </w:p>
          <w:p w14:paraId="1787115F" w14:textId="77777777" w:rsidR="008962CE" w:rsidRPr="00CF23F2" w:rsidRDefault="008962CE" w:rsidP="003A458A">
            <w:pPr>
              <w:rPr>
                <w:rFonts w:cs="Arial"/>
                <w:sz w:val="20"/>
                <w:szCs w:val="20"/>
              </w:rPr>
            </w:pPr>
          </w:p>
        </w:tc>
        <w:tc>
          <w:tcPr>
            <w:tcW w:w="6799" w:type="dxa"/>
          </w:tcPr>
          <w:p w14:paraId="33B219B1" w14:textId="0CD03984" w:rsidR="008962CE" w:rsidRPr="00CF23F2" w:rsidRDefault="008962CE" w:rsidP="003A458A">
            <w:pPr>
              <w:rPr>
                <w:rFonts w:cs="Arial"/>
                <w:sz w:val="20"/>
                <w:szCs w:val="20"/>
              </w:rPr>
            </w:pPr>
            <w:r w:rsidRPr="58A14E8B">
              <w:rPr>
                <w:rFonts w:cs="Arial"/>
                <w:sz w:val="20"/>
                <w:szCs w:val="20"/>
              </w:rPr>
              <w:lastRenderedPageBreak/>
              <w:t xml:space="preserve">Jurisdictions are responsible for implementation. </w:t>
            </w:r>
            <w:r w:rsidR="00C64BA1">
              <w:rPr>
                <w:rFonts w:cs="Arial"/>
                <w:sz w:val="20"/>
                <w:szCs w:val="20"/>
              </w:rPr>
              <w:t>T</w:t>
            </w:r>
            <w:r w:rsidR="00C64BA1" w:rsidRPr="58A14E8B">
              <w:rPr>
                <w:rFonts w:cs="Arial"/>
                <w:sz w:val="20"/>
                <w:szCs w:val="20"/>
              </w:rPr>
              <w:t>hese comments will be forwarded to the IWG</w:t>
            </w:r>
            <w:r w:rsidR="00C64BA1" w:rsidRPr="00E312A7" w:rsidDel="00C64BA1">
              <w:rPr>
                <w:rFonts w:cs="Arial"/>
                <w:sz w:val="20"/>
                <w:szCs w:val="20"/>
              </w:rPr>
              <w:t xml:space="preserve"> </w:t>
            </w:r>
            <w:r w:rsidR="00C64BA1">
              <w:rPr>
                <w:rFonts w:cs="Arial"/>
                <w:sz w:val="20"/>
                <w:szCs w:val="20"/>
              </w:rPr>
              <w:t>to consider implementation and support</w:t>
            </w:r>
            <w:r w:rsidR="007A40CB">
              <w:rPr>
                <w:rFonts w:cs="Arial"/>
                <w:sz w:val="20"/>
                <w:szCs w:val="20"/>
              </w:rPr>
              <w:t>.</w:t>
            </w:r>
          </w:p>
          <w:p w14:paraId="52906D46" w14:textId="77777777" w:rsidR="008962CE" w:rsidRPr="00CF23F2" w:rsidRDefault="008962CE" w:rsidP="003A458A">
            <w:pPr>
              <w:rPr>
                <w:rFonts w:cs="Arial"/>
                <w:sz w:val="20"/>
                <w:szCs w:val="20"/>
              </w:rPr>
            </w:pPr>
          </w:p>
        </w:tc>
      </w:tr>
      <w:tr w:rsidR="008962CE" w:rsidRPr="00CF23F2" w14:paraId="769A0955" w14:textId="77777777" w:rsidTr="00FD5F2E">
        <w:tc>
          <w:tcPr>
            <w:tcW w:w="6458" w:type="dxa"/>
            <w:gridSpan w:val="2"/>
          </w:tcPr>
          <w:p w14:paraId="2EB6AB9F" w14:textId="77777777" w:rsidR="008962CE" w:rsidRPr="003F0E2E" w:rsidRDefault="008962CE" w:rsidP="003A458A">
            <w:pPr>
              <w:rPr>
                <w:rFonts w:cs="Arial"/>
                <w:b/>
                <w:sz w:val="20"/>
                <w:szCs w:val="20"/>
              </w:rPr>
            </w:pPr>
            <w:r w:rsidRPr="003F0E2E">
              <w:rPr>
                <w:rFonts w:cs="Arial"/>
                <w:b/>
                <w:sz w:val="20"/>
                <w:szCs w:val="20"/>
              </w:rPr>
              <w:t>FSS refresher/currency:</w:t>
            </w:r>
          </w:p>
          <w:p w14:paraId="30E2C004" w14:textId="77777777" w:rsidR="008962CE" w:rsidRPr="00CF23F2" w:rsidRDefault="008962CE" w:rsidP="00614AF5">
            <w:pPr>
              <w:pStyle w:val="ListParagraph"/>
              <w:numPr>
                <w:ilvl w:val="0"/>
                <w:numId w:val="19"/>
              </w:numPr>
              <w:rPr>
                <w:rFonts w:cs="Arial"/>
                <w:sz w:val="20"/>
                <w:szCs w:val="20"/>
              </w:rPr>
            </w:pPr>
            <w:r w:rsidRPr="58A14E8B">
              <w:rPr>
                <w:rFonts w:cs="Arial"/>
                <w:sz w:val="20"/>
                <w:szCs w:val="20"/>
              </w:rPr>
              <w:t>Agree with recurring training every 5 years</w:t>
            </w:r>
          </w:p>
          <w:p w14:paraId="05ED1759" w14:textId="77777777" w:rsidR="008962CE" w:rsidRPr="00CF23F2" w:rsidRDefault="008962CE" w:rsidP="00614AF5">
            <w:pPr>
              <w:pStyle w:val="ListParagraph"/>
              <w:numPr>
                <w:ilvl w:val="0"/>
                <w:numId w:val="19"/>
              </w:numPr>
              <w:rPr>
                <w:rFonts w:cs="Arial"/>
                <w:sz w:val="20"/>
                <w:szCs w:val="20"/>
              </w:rPr>
            </w:pPr>
            <w:r w:rsidRPr="58A14E8B">
              <w:rPr>
                <w:rFonts w:cs="Arial"/>
                <w:sz w:val="20"/>
                <w:szCs w:val="20"/>
              </w:rPr>
              <w:t>Refresher FSS training should be more frequent (e.g. every 2- 3 years) especially if the business is required to have a food safety program.</w:t>
            </w:r>
          </w:p>
        </w:tc>
        <w:tc>
          <w:tcPr>
            <w:tcW w:w="1480" w:type="dxa"/>
          </w:tcPr>
          <w:p w14:paraId="73A56627" w14:textId="77777777" w:rsidR="008962CE" w:rsidRPr="00CF23F2" w:rsidRDefault="008962CE" w:rsidP="003A458A">
            <w:pPr>
              <w:rPr>
                <w:rFonts w:cs="Arial"/>
                <w:sz w:val="20"/>
                <w:szCs w:val="20"/>
              </w:rPr>
            </w:pPr>
            <w:r w:rsidRPr="00CF23F2">
              <w:rPr>
                <w:rFonts w:cs="Arial"/>
                <w:sz w:val="20"/>
                <w:szCs w:val="20"/>
              </w:rPr>
              <w:t>local council, service provider</w:t>
            </w:r>
          </w:p>
        </w:tc>
        <w:tc>
          <w:tcPr>
            <w:tcW w:w="6799" w:type="dxa"/>
          </w:tcPr>
          <w:p w14:paraId="2B4CE88B" w14:textId="77777777" w:rsidR="008962CE" w:rsidRPr="00CF23F2" w:rsidRDefault="008962CE" w:rsidP="003A458A">
            <w:pPr>
              <w:rPr>
                <w:rFonts w:cs="Arial"/>
                <w:sz w:val="20"/>
                <w:szCs w:val="20"/>
              </w:rPr>
            </w:pPr>
            <w:r w:rsidRPr="58A14E8B">
              <w:rPr>
                <w:rFonts w:cs="Arial"/>
                <w:sz w:val="20"/>
                <w:szCs w:val="20"/>
              </w:rPr>
              <w:t xml:space="preserve">Noted. </w:t>
            </w:r>
          </w:p>
          <w:p w14:paraId="4081F86F" w14:textId="77777777" w:rsidR="008962CE" w:rsidRPr="00CF23F2" w:rsidRDefault="008962CE" w:rsidP="003A458A">
            <w:pPr>
              <w:rPr>
                <w:rFonts w:cs="Arial"/>
                <w:sz w:val="20"/>
                <w:szCs w:val="20"/>
              </w:rPr>
            </w:pPr>
            <w:r w:rsidRPr="58A14E8B">
              <w:rPr>
                <w:rFonts w:cs="Arial"/>
                <w:sz w:val="20"/>
                <w:szCs w:val="20"/>
              </w:rPr>
              <w:t>Refresher FSS training for businesses required to have a Food Safety Program (FSP) is an implementation issue to be considered by food enforcement agencies in the implementation of FSPs.</w:t>
            </w:r>
          </w:p>
          <w:p w14:paraId="55248F4B" w14:textId="77777777" w:rsidR="008962CE" w:rsidRPr="00CF23F2" w:rsidRDefault="008962CE" w:rsidP="003A458A">
            <w:pPr>
              <w:rPr>
                <w:rFonts w:cs="Arial"/>
                <w:sz w:val="20"/>
                <w:szCs w:val="20"/>
              </w:rPr>
            </w:pPr>
          </w:p>
        </w:tc>
      </w:tr>
      <w:tr w:rsidR="008962CE" w:rsidRPr="00CF23F2" w14:paraId="099CFAF9" w14:textId="77777777" w:rsidTr="00FD5F2E">
        <w:tc>
          <w:tcPr>
            <w:tcW w:w="6458" w:type="dxa"/>
            <w:gridSpan w:val="2"/>
          </w:tcPr>
          <w:p w14:paraId="0E6500F6" w14:textId="77777777" w:rsidR="008962CE" w:rsidRPr="00CF23F2" w:rsidRDefault="008962CE" w:rsidP="003A458A">
            <w:pPr>
              <w:rPr>
                <w:rFonts w:cs="Arial"/>
                <w:sz w:val="20"/>
                <w:szCs w:val="20"/>
              </w:rPr>
            </w:pPr>
            <w:r w:rsidRPr="00CF23F2">
              <w:rPr>
                <w:rFonts w:cs="Arial"/>
                <w:sz w:val="20"/>
                <w:szCs w:val="20"/>
              </w:rPr>
              <w:t xml:space="preserve">Consider a national FSS database </w:t>
            </w:r>
            <w:r>
              <w:rPr>
                <w:rFonts w:cs="Arial"/>
                <w:sz w:val="20"/>
                <w:szCs w:val="20"/>
              </w:rPr>
              <w:t>for</w:t>
            </w:r>
            <w:r w:rsidRPr="00CF23F2">
              <w:rPr>
                <w:rFonts w:cs="Arial"/>
                <w:sz w:val="20"/>
                <w:szCs w:val="20"/>
              </w:rPr>
              <w:t xml:space="preserve"> authorised officer</w:t>
            </w:r>
            <w:r>
              <w:rPr>
                <w:rFonts w:cs="Arial"/>
                <w:sz w:val="20"/>
                <w:szCs w:val="20"/>
              </w:rPr>
              <w:t xml:space="preserve"> acces</w:t>
            </w:r>
            <w:r w:rsidRPr="00CF23F2">
              <w:rPr>
                <w:rFonts w:cs="Arial"/>
                <w:sz w:val="20"/>
                <w:szCs w:val="20"/>
              </w:rPr>
              <w:t xml:space="preserve">s (e.g. to avoid </w:t>
            </w:r>
            <w:r>
              <w:rPr>
                <w:rFonts w:cs="Arial"/>
                <w:sz w:val="20"/>
                <w:szCs w:val="20"/>
              </w:rPr>
              <w:t xml:space="preserve">use of </w:t>
            </w:r>
            <w:r w:rsidRPr="00CF23F2">
              <w:rPr>
                <w:rFonts w:cs="Arial"/>
                <w:sz w:val="20"/>
                <w:szCs w:val="20"/>
              </w:rPr>
              <w:t>a certificate across multiple venues)</w:t>
            </w:r>
            <w:r>
              <w:rPr>
                <w:rFonts w:cs="Arial"/>
                <w:sz w:val="20"/>
                <w:szCs w:val="20"/>
              </w:rPr>
              <w:t>.</w:t>
            </w:r>
          </w:p>
        </w:tc>
        <w:tc>
          <w:tcPr>
            <w:tcW w:w="1480" w:type="dxa"/>
          </w:tcPr>
          <w:p w14:paraId="53E2933D"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36377C01" w14:textId="1BD44149" w:rsidR="008962CE" w:rsidRPr="00CF23F2" w:rsidRDefault="00C64BA1">
            <w:pPr>
              <w:rPr>
                <w:rFonts w:cs="Arial"/>
                <w:sz w:val="20"/>
                <w:szCs w:val="20"/>
              </w:rPr>
            </w:pPr>
            <w:r w:rsidRPr="58A14E8B">
              <w:rPr>
                <w:rFonts w:cs="Arial"/>
                <w:sz w:val="20"/>
                <w:szCs w:val="20"/>
              </w:rPr>
              <w:t xml:space="preserve">Jurisdictions are responsible for implementation. </w:t>
            </w:r>
            <w:r>
              <w:rPr>
                <w:rFonts w:cs="Arial"/>
                <w:sz w:val="20"/>
                <w:szCs w:val="20"/>
              </w:rPr>
              <w:t>T</w:t>
            </w:r>
            <w:r w:rsidRPr="58A14E8B">
              <w:rPr>
                <w:rFonts w:cs="Arial"/>
                <w:sz w:val="20"/>
                <w:szCs w:val="20"/>
              </w:rPr>
              <w:t>hese comments will be forwarded to the IWG</w:t>
            </w:r>
            <w:r w:rsidRPr="00E312A7" w:rsidDel="00C64BA1">
              <w:rPr>
                <w:rFonts w:cs="Arial"/>
                <w:sz w:val="20"/>
                <w:szCs w:val="20"/>
              </w:rPr>
              <w:t xml:space="preserve"> </w:t>
            </w:r>
            <w:r w:rsidR="008962CE">
              <w:rPr>
                <w:rFonts w:cs="Arial"/>
                <w:sz w:val="20"/>
                <w:szCs w:val="20"/>
              </w:rPr>
              <w:t xml:space="preserve">to consider implementation and support. </w:t>
            </w:r>
          </w:p>
        </w:tc>
      </w:tr>
      <w:tr w:rsidR="008962CE" w:rsidRPr="00CF23F2" w14:paraId="6872D5CC" w14:textId="77777777" w:rsidTr="00FD5F2E">
        <w:tc>
          <w:tcPr>
            <w:tcW w:w="6458" w:type="dxa"/>
            <w:gridSpan w:val="2"/>
          </w:tcPr>
          <w:p w14:paraId="6654D64E" w14:textId="77777777" w:rsidR="008962CE" w:rsidRPr="00FD5F2E" w:rsidRDefault="008962CE" w:rsidP="003A458A">
            <w:pPr>
              <w:rPr>
                <w:rFonts w:cs="Arial"/>
                <w:sz w:val="20"/>
                <w:szCs w:val="20"/>
              </w:rPr>
            </w:pPr>
            <w:r w:rsidRPr="00FD5F2E">
              <w:rPr>
                <w:rFonts w:cs="Arial"/>
                <w:sz w:val="20"/>
                <w:szCs w:val="20"/>
              </w:rPr>
              <w:t>FSS accountability should be increased (e.g. currently they are not liable for a breach or required to report to regulatory authority).</w:t>
            </w:r>
          </w:p>
          <w:p w14:paraId="5FAE62D9" w14:textId="77777777" w:rsidR="008962CE" w:rsidRPr="00FD5F2E" w:rsidRDefault="008962CE" w:rsidP="003A458A">
            <w:pPr>
              <w:rPr>
                <w:rFonts w:cs="Arial"/>
                <w:sz w:val="20"/>
                <w:szCs w:val="20"/>
              </w:rPr>
            </w:pPr>
          </w:p>
          <w:p w14:paraId="401309FB" w14:textId="77777777" w:rsidR="008962CE" w:rsidRPr="00FD5F2E" w:rsidRDefault="008962CE" w:rsidP="003A458A">
            <w:pPr>
              <w:rPr>
                <w:rFonts w:cs="Arial"/>
                <w:sz w:val="20"/>
                <w:szCs w:val="20"/>
              </w:rPr>
            </w:pPr>
            <w:r w:rsidRPr="00FD5F2E">
              <w:rPr>
                <w:rFonts w:cs="Arial"/>
                <w:sz w:val="20"/>
                <w:szCs w:val="20"/>
              </w:rPr>
              <w:t>They should be responsible for providing completed monitoring forms to managers in form of evidence.</w:t>
            </w:r>
          </w:p>
        </w:tc>
        <w:tc>
          <w:tcPr>
            <w:tcW w:w="1480" w:type="dxa"/>
          </w:tcPr>
          <w:p w14:paraId="3572B248" w14:textId="77777777" w:rsidR="008962CE" w:rsidRPr="00FD5F2E" w:rsidRDefault="008962CE" w:rsidP="003A458A">
            <w:pPr>
              <w:rPr>
                <w:rFonts w:cs="Arial"/>
                <w:sz w:val="20"/>
                <w:szCs w:val="20"/>
              </w:rPr>
            </w:pPr>
            <w:r w:rsidRPr="00FD5F2E">
              <w:rPr>
                <w:rFonts w:cs="Arial"/>
                <w:sz w:val="20"/>
                <w:szCs w:val="20"/>
              </w:rPr>
              <w:t>local council</w:t>
            </w:r>
          </w:p>
        </w:tc>
        <w:tc>
          <w:tcPr>
            <w:tcW w:w="6799" w:type="dxa"/>
          </w:tcPr>
          <w:p w14:paraId="0C2E54AB" w14:textId="5E4CA3AE" w:rsidR="008962CE" w:rsidRPr="00FD5F2E" w:rsidRDefault="00FD5F2E" w:rsidP="003A458A">
            <w:pPr>
              <w:rPr>
                <w:rFonts w:cs="Arial"/>
                <w:sz w:val="20"/>
                <w:szCs w:val="20"/>
              </w:rPr>
            </w:pPr>
            <w:r w:rsidRPr="00FD5F2E">
              <w:rPr>
                <w:sz w:val="20"/>
              </w:rPr>
              <w:t>Noted. FSANZ consider this is more a matter for the jurisdiction which are responsible for the Food Acts. The Food Acts apply the Code, which has no force of itself.</w:t>
            </w:r>
          </w:p>
        </w:tc>
      </w:tr>
      <w:tr w:rsidR="008962CE" w:rsidRPr="00CF23F2" w14:paraId="1360B0C1" w14:textId="77777777" w:rsidTr="00FD5F2E">
        <w:tc>
          <w:tcPr>
            <w:tcW w:w="6458" w:type="dxa"/>
            <w:gridSpan w:val="2"/>
          </w:tcPr>
          <w:p w14:paraId="1880DD5C" w14:textId="77777777" w:rsidR="008962CE" w:rsidRPr="00CF23F2" w:rsidRDefault="008962CE" w:rsidP="003A458A">
            <w:pPr>
              <w:rPr>
                <w:rFonts w:cs="Arial"/>
                <w:sz w:val="20"/>
                <w:szCs w:val="20"/>
              </w:rPr>
            </w:pPr>
            <w:r w:rsidRPr="00CF23F2">
              <w:rPr>
                <w:rFonts w:cs="Arial"/>
                <w:sz w:val="20"/>
                <w:szCs w:val="20"/>
              </w:rPr>
              <w:t xml:space="preserve">Clarify whether FSS training </w:t>
            </w:r>
            <w:r>
              <w:rPr>
                <w:rFonts w:cs="Arial"/>
                <w:sz w:val="20"/>
                <w:szCs w:val="20"/>
              </w:rPr>
              <w:t>is</w:t>
            </w:r>
            <w:r w:rsidRPr="00CF23F2">
              <w:rPr>
                <w:rFonts w:cs="Arial"/>
                <w:sz w:val="20"/>
                <w:szCs w:val="20"/>
              </w:rPr>
              <w:t xml:space="preserve"> required if food business owners have no other food handlers </w:t>
            </w:r>
            <w:r>
              <w:rPr>
                <w:rFonts w:cs="Arial"/>
                <w:sz w:val="20"/>
                <w:szCs w:val="20"/>
              </w:rPr>
              <w:t>than themselves.</w:t>
            </w:r>
          </w:p>
        </w:tc>
        <w:tc>
          <w:tcPr>
            <w:tcW w:w="1480" w:type="dxa"/>
          </w:tcPr>
          <w:p w14:paraId="22B8DBA1" w14:textId="77777777" w:rsidR="008962CE" w:rsidRPr="00CF23F2" w:rsidRDefault="008962CE" w:rsidP="003A458A">
            <w:pPr>
              <w:rPr>
                <w:rFonts w:cs="Arial"/>
                <w:sz w:val="20"/>
                <w:szCs w:val="20"/>
              </w:rPr>
            </w:pPr>
            <w:r w:rsidRPr="00CF23F2">
              <w:rPr>
                <w:rFonts w:cs="Arial"/>
                <w:sz w:val="20"/>
                <w:szCs w:val="20"/>
              </w:rPr>
              <w:t>state/territory government</w:t>
            </w:r>
          </w:p>
        </w:tc>
        <w:tc>
          <w:tcPr>
            <w:tcW w:w="6799" w:type="dxa"/>
          </w:tcPr>
          <w:p w14:paraId="28CE74B9" w14:textId="54A67744" w:rsidR="008962CE" w:rsidRPr="00CF23F2" w:rsidRDefault="008962CE" w:rsidP="00003CCC">
            <w:pPr>
              <w:rPr>
                <w:rFonts w:cs="Arial"/>
                <w:sz w:val="20"/>
                <w:szCs w:val="20"/>
              </w:rPr>
            </w:pPr>
            <w:r w:rsidRPr="58A14E8B">
              <w:rPr>
                <w:rFonts w:cs="Arial"/>
                <w:sz w:val="20"/>
                <w:szCs w:val="20"/>
              </w:rPr>
              <w:t>All businesses must have an FSS, as per the case study example provided in the DRIS.</w:t>
            </w:r>
          </w:p>
        </w:tc>
      </w:tr>
      <w:tr w:rsidR="008962CE" w:rsidRPr="006E3FE7" w14:paraId="1FEBDDE1" w14:textId="77777777" w:rsidTr="00B61BE2">
        <w:tc>
          <w:tcPr>
            <w:tcW w:w="14737" w:type="dxa"/>
            <w:gridSpan w:val="4"/>
            <w:shd w:val="clear" w:color="auto" w:fill="C6D9F1" w:themeFill="text2" w:themeFillTint="33"/>
          </w:tcPr>
          <w:p w14:paraId="7F69A3E4" w14:textId="77777777" w:rsidR="008962CE" w:rsidRDefault="008962CE" w:rsidP="003A458A">
            <w:pPr>
              <w:rPr>
                <w:rFonts w:cs="Arial"/>
                <w:b/>
                <w:sz w:val="20"/>
                <w:szCs w:val="20"/>
              </w:rPr>
            </w:pPr>
            <w:r>
              <w:rPr>
                <w:rFonts w:cs="Arial"/>
                <w:b/>
                <w:sz w:val="20"/>
                <w:szCs w:val="20"/>
              </w:rPr>
              <w:t xml:space="preserve">Implementation - </w:t>
            </w:r>
            <w:r w:rsidRPr="006E3FE7">
              <w:rPr>
                <w:rFonts w:cs="Arial"/>
                <w:b/>
                <w:sz w:val="20"/>
                <w:szCs w:val="20"/>
              </w:rPr>
              <w:t>F</w:t>
            </w:r>
            <w:r>
              <w:rPr>
                <w:rFonts w:cs="Arial"/>
                <w:b/>
                <w:sz w:val="20"/>
                <w:szCs w:val="20"/>
              </w:rPr>
              <w:t xml:space="preserve">ood </w:t>
            </w:r>
            <w:r w:rsidRPr="006E3FE7">
              <w:rPr>
                <w:rFonts w:cs="Arial"/>
                <w:b/>
                <w:sz w:val="20"/>
                <w:szCs w:val="20"/>
              </w:rPr>
              <w:t>H</w:t>
            </w:r>
            <w:r>
              <w:rPr>
                <w:rFonts w:cs="Arial"/>
                <w:b/>
                <w:sz w:val="20"/>
                <w:szCs w:val="20"/>
              </w:rPr>
              <w:t xml:space="preserve">andler </w:t>
            </w:r>
            <w:r w:rsidRPr="006E3FE7">
              <w:rPr>
                <w:rFonts w:cs="Arial"/>
                <w:b/>
                <w:sz w:val="20"/>
                <w:szCs w:val="20"/>
              </w:rPr>
              <w:t>T</w:t>
            </w:r>
            <w:r>
              <w:rPr>
                <w:rFonts w:cs="Arial"/>
                <w:b/>
                <w:sz w:val="20"/>
                <w:szCs w:val="20"/>
              </w:rPr>
              <w:t>raining (FHT)</w:t>
            </w:r>
          </w:p>
          <w:p w14:paraId="12C1627C" w14:textId="77777777" w:rsidR="008962CE" w:rsidRPr="006E3FE7" w:rsidRDefault="008962CE" w:rsidP="003A458A">
            <w:pPr>
              <w:rPr>
                <w:rFonts w:cs="Arial"/>
                <w:b/>
                <w:sz w:val="20"/>
                <w:szCs w:val="20"/>
              </w:rPr>
            </w:pPr>
          </w:p>
        </w:tc>
      </w:tr>
      <w:tr w:rsidR="008962CE" w:rsidRPr="00CF23F2" w14:paraId="20D7FF5F" w14:textId="77777777" w:rsidTr="00FD5F2E">
        <w:tc>
          <w:tcPr>
            <w:tcW w:w="6458" w:type="dxa"/>
            <w:gridSpan w:val="2"/>
          </w:tcPr>
          <w:p w14:paraId="36ABC85F" w14:textId="77777777" w:rsidR="008962CE" w:rsidRDefault="008962CE" w:rsidP="003A458A">
            <w:pPr>
              <w:rPr>
                <w:rFonts w:cs="Arial"/>
                <w:sz w:val="20"/>
                <w:szCs w:val="20"/>
              </w:rPr>
            </w:pPr>
            <w:r w:rsidRPr="00D613F3">
              <w:rPr>
                <w:rFonts w:cs="Arial"/>
                <w:sz w:val="20"/>
                <w:szCs w:val="20"/>
              </w:rPr>
              <w:t xml:space="preserve">FHT certificates should be recognised across all jurisdictions. </w:t>
            </w:r>
          </w:p>
        </w:tc>
        <w:tc>
          <w:tcPr>
            <w:tcW w:w="1480" w:type="dxa"/>
          </w:tcPr>
          <w:p w14:paraId="7732B0DC" w14:textId="77777777" w:rsidR="008962CE" w:rsidRPr="58A14E8B" w:rsidRDefault="008962CE" w:rsidP="003A458A">
            <w:pPr>
              <w:rPr>
                <w:rFonts w:cs="Arial"/>
                <w:sz w:val="20"/>
                <w:szCs w:val="20"/>
              </w:rPr>
            </w:pPr>
            <w:r w:rsidRPr="00CF23F2">
              <w:rPr>
                <w:rFonts w:cs="Arial"/>
                <w:sz w:val="20"/>
                <w:szCs w:val="20"/>
              </w:rPr>
              <w:t>local council</w:t>
            </w:r>
          </w:p>
        </w:tc>
        <w:tc>
          <w:tcPr>
            <w:tcW w:w="6799" w:type="dxa"/>
          </w:tcPr>
          <w:p w14:paraId="6EB7EBA5" w14:textId="6AC69A05" w:rsidR="008962CE" w:rsidRDefault="007A40CB" w:rsidP="003A458A">
            <w:pPr>
              <w:rPr>
                <w:rFonts w:cs="Arial"/>
                <w:sz w:val="20"/>
                <w:szCs w:val="20"/>
              </w:rPr>
            </w:pPr>
            <w:r w:rsidRPr="58A14E8B">
              <w:rPr>
                <w:rFonts w:cs="Arial"/>
                <w:sz w:val="20"/>
                <w:szCs w:val="20"/>
              </w:rPr>
              <w:t xml:space="preserve">Jurisdictions are responsible for implementation. </w:t>
            </w:r>
            <w:r>
              <w:rPr>
                <w:rFonts w:cs="Arial"/>
                <w:sz w:val="20"/>
                <w:szCs w:val="20"/>
              </w:rPr>
              <w:t>T</w:t>
            </w:r>
            <w:r w:rsidRPr="58A14E8B">
              <w:rPr>
                <w:rFonts w:cs="Arial"/>
                <w:sz w:val="20"/>
                <w:szCs w:val="20"/>
              </w:rPr>
              <w:t>hese comments will be forwarded to the IWG</w:t>
            </w:r>
            <w:r w:rsidRPr="00E312A7" w:rsidDel="00C64BA1">
              <w:rPr>
                <w:rFonts w:cs="Arial"/>
                <w:sz w:val="20"/>
                <w:szCs w:val="20"/>
              </w:rPr>
              <w:t xml:space="preserve"> </w:t>
            </w:r>
            <w:r>
              <w:rPr>
                <w:rFonts w:cs="Arial"/>
                <w:sz w:val="20"/>
                <w:szCs w:val="20"/>
              </w:rPr>
              <w:t>to consider implementation and support.</w:t>
            </w:r>
          </w:p>
        </w:tc>
      </w:tr>
      <w:tr w:rsidR="008962CE" w:rsidRPr="00CF23F2" w14:paraId="314237AF" w14:textId="77777777" w:rsidTr="00FD5F2E">
        <w:tc>
          <w:tcPr>
            <w:tcW w:w="6458" w:type="dxa"/>
            <w:gridSpan w:val="2"/>
          </w:tcPr>
          <w:p w14:paraId="196C9EAE" w14:textId="77777777" w:rsidR="008962CE" w:rsidRDefault="008962CE" w:rsidP="00614AF5">
            <w:pPr>
              <w:pStyle w:val="ListParagraph"/>
              <w:numPr>
                <w:ilvl w:val="0"/>
                <w:numId w:val="27"/>
              </w:numPr>
              <w:rPr>
                <w:rFonts w:cs="Arial"/>
                <w:sz w:val="20"/>
                <w:szCs w:val="20"/>
              </w:rPr>
            </w:pPr>
            <w:r w:rsidRPr="00667D67">
              <w:rPr>
                <w:rFonts w:cs="Arial"/>
                <w:sz w:val="20"/>
                <w:szCs w:val="20"/>
              </w:rPr>
              <w:t>Authorised officers should also complete training</w:t>
            </w:r>
            <w:r>
              <w:rPr>
                <w:rFonts w:cs="Arial"/>
                <w:sz w:val="20"/>
                <w:szCs w:val="20"/>
              </w:rPr>
              <w:t>, including allergen management.</w:t>
            </w:r>
            <w:r w:rsidRPr="00667D67">
              <w:rPr>
                <w:rFonts w:cs="Arial"/>
                <w:sz w:val="20"/>
                <w:szCs w:val="20"/>
              </w:rPr>
              <w:t xml:space="preserve"> </w:t>
            </w:r>
          </w:p>
          <w:p w14:paraId="77103167" w14:textId="77777777" w:rsidR="008962CE" w:rsidRPr="00D613F3" w:rsidRDefault="008962CE" w:rsidP="00614AF5">
            <w:pPr>
              <w:pStyle w:val="ListParagraph"/>
              <w:numPr>
                <w:ilvl w:val="0"/>
                <w:numId w:val="27"/>
              </w:numPr>
              <w:rPr>
                <w:rFonts w:cs="Arial"/>
                <w:sz w:val="20"/>
                <w:szCs w:val="20"/>
              </w:rPr>
            </w:pPr>
            <w:r w:rsidRPr="00D613F3">
              <w:rPr>
                <w:rFonts w:cs="Arial"/>
                <w:sz w:val="20"/>
                <w:szCs w:val="20"/>
              </w:rPr>
              <w:t>Regulate and standardise the qualifications of council food auditor /inspectors /environmental health officers.</w:t>
            </w:r>
          </w:p>
        </w:tc>
        <w:tc>
          <w:tcPr>
            <w:tcW w:w="1480" w:type="dxa"/>
          </w:tcPr>
          <w:p w14:paraId="43444576" w14:textId="77777777" w:rsidR="008962CE" w:rsidRPr="58A14E8B" w:rsidRDefault="008962CE" w:rsidP="003A458A">
            <w:pPr>
              <w:rPr>
                <w:rFonts w:cs="Arial"/>
                <w:sz w:val="20"/>
                <w:szCs w:val="20"/>
              </w:rPr>
            </w:pPr>
            <w:r w:rsidRPr="00CF23F2">
              <w:rPr>
                <w:rFonts w:cs="Arial"/>
                <w:sz w:val="20"/>
                <w:szCs w:val="20"/>
              </w:rPr>
              <w:t>service provider, advocacy group</w:t>
            </w:r>
          </w:p>
        </w:tc>
        <w:tc>
          <w:tcPr>
            <w:tcW w:w="6799" w:type="dxa"/>
          </w:tcPr>
          <w:p w14:paraId="2D29A240" w14:textId="77777777" w:rsidR="008962CE" w:rsidRPr="58A14E8B" w:rsidRDefault="008962CE" w:rsidP="003A458A">
            <w:pPr>
              <w:rPr>
                <w:rFonts w:cs="Arial"/>
                <w:sz w:val="20"/>
                <w:szCs w:val="20"/>
              </w:rPr>
            </w:pPr>
            <w:r>
              <w:rPr>
                <w:rFonts w:cs="Arial"/>
                <w:sz w:val="20"/>
                <w:szCs w:val="20"/>
              </w:rPr>
              <w:t xml:space="preserve">Criteria for authorised officers is not within the remit of a Standard in the Food Standards Code and therefore not for FSANZ to address. </w:t>
            </w:r>
          </w:p>
        </w:tc>
      </w:tr>
      <w:tr w:rsidR="008962CE" w:rsidRPr="00CF23F2" w14:paraId="1619E841" w14:textId="77777777" w:rsidTr="00FD5F2E">
        <w:tc>
          <w:tcPr>
            <w:tcW w:w="6458" w:type="dxa"/>
            <w:gridSpan w:val="2"/>
          </w:tcPr>
          <w:p w14:paraId="545F0486" w14:textId="77777777" w:rsidR="008962CE" w:rsidRDefault="008962CE" w:rsidP="003A458A">
            <w:pPr>
              <w:rPr>
                <w:rFonts w:cs="Arial"/>
                <w:sz w:val="20"/>
                <w:szCs w:val="20"/>
              </w:rPr>
            </w:pPr>
            <w:r w:rsidRPr="58A14E8B">
              <w:rPr>
                <w:rFonts w:cs="Arial"/>
                <w:sz w:val="20"/>
                <w:szCs w:val="20"/>
              </w:rPr>
              <w:t>Concern that part (b) of the requirement provides businesses with an ‘out’ to avoid training.</w:t>
            </w:r>
          </w:p>
          <w:p w14:paraId="38E28689" w14:textId="05342D6C" w:rsidR="008962CE" w:rsidRDefault="008962CE" w:rsidP="003A458A">
            <w:pPr>
              <w:rPr>
                <w:rFonts w:cs="Arial"/>
                <w:sz w:val="20"/>
                <w:szCs w:val="20"/>
              </w:rPr>
            </w:pPr>
            <w:r w:rsidRPr="58A14E8B">
              <w:rPr>
                <w:rFonts w:cs="Arial"/>
                <w:sz w:val="20"/>
                <w:szCs w:val="20"/>
              </w:rPr>
              <w:t>Recognition of prior learning should be only by other training/education.</w:t>
            </w:r>
          </w:p>
        </w:tc>
        <w:tc>
          <w:tcPr>
            <w:tcW w:w="1480" w:type="dxa"/>
          </w:tcPr>
          <w:p w14:paraId="654FF8E7" w14:textId="77777777" w:rsidR="008962CE" w:rsidRPr="00CF23F2" w:rsidRDefault="008962CE" w:rsidP="003A458A">
            <w:pPr>
              <w:rPr>
                <w:rFonts w:cs="Arial"/>
                <w:sz w:val="20"/>
                <w:szCs w:val="20"/>
              </w:rPr>
            </w:pPr>
            <w:r w:rsidRPr="58A14E8B">
              <w:rPr>
                <w:rFonts w:cs="Arial"/>
                <w:sz w:val="20"/>
                <w:szCs w:val="20"/>
              </w:rPr>
              <w:t>local council, service provider</w:t>
            </w:r>
          </w:p>
          <w:p w14:paraId="480CAC87" w14:textId="77777777" w:rsidR="008962CE" w:rsidRPr="00CF23F2" w:rsidRDefault="008962CE" w:rsidP="003A458A">
            <w:pPr>
              <w:rPr>
                <w:rFonts w:cs="Arial"/>
                <w:sz w:val="20"/>
                <w:szCs w:val="20"/>
              </w:rPr>
            </w:pPr>
          </w:p>
        </w:tc>
        <w:tc>
          <w:tcPr>
            <w:tcW w:w="6799" w:type="dxa"/>
          </w:tcPr>
          <w:p w14:paraId="23307C36" w14:textId="120BB1AF" w:rsidR="008962CE" w:rsidRDefault="007A40CB" w:rsidP="003A458A">
            <w:pPr>
              <w:rPr>
                <w:rFonts w:cs="Arial"/>
                <w:sz w:val="20"/>
                <w:szCs w:val="20"/>
              </w:rPr>
            </w:pPr>
            <w:r w:rsidRPr="58A14E8B">
              <w:rPr>
                <w:rFonts w:cs="Arial"/>
                <w:sz w:val="20"/>
                <w:szCs w:val="20"/>
              </w:rPr>
              <w:t xml:space="preserve">Jurisdictions are responsible for implementation. </w:t>
            </w:r>
            <w:r>
              <w:rPr>
                <w:rFonts w:cs="Arial"/>
                <w:sz w:val="20"/>
                <w:szCs w:val="20"/>
              </w:rPr>
              <w:t>T</w:t>
            </w:r>
            <w:r w:rsidRPr="58A14E8B">
              <w:rPr>
                <w:rFonts w:cs="Arial"/>
                <w:sz w:val="20"/>
                <w:szCs w:val="20"/>
              </w:rPr>
              <w:t>hese comments will be forwarded to the IWG</w:t>
            </w:r>
            <w:r w:rsidRPr="00E312A7" w:rsidDel="00C64BA1">
              <w:rPr>
                <w:rFonts w:cs="Arial"/>
                <w:sz w:val="20"/>
                <w:szCs w:val="20"/>
              </w:rPr>
              <w:t xml:space="preserve"> </w:t>
            </w:r>
            <w:r>
              <w:rPr>
                <w:rFonts w:cs="Arial"/>
                <w:sz w:val="20"/>
                <w:szCs w:val="20"/>
              </w:rPr>
              <w:t>to consider implementation and support.</w:t>
            </w:r>
          </w:p>
        </w:tc>
      </w:tr>
      <w:tr w:rsidR="008962CE" w:rsidRPr="00CF23F2" w14:paraId="2D056009" w14:textId="77777777" w:rsidTr="00FD5F2E">
        <w:tc>
          <w:tcPr>
            <w:tcW w:w="6458" w:type="dxa"/>
            <w:gridSpan w:val="2"/>
          </w:tcPr>
          <w:p w14:paraId="7AEFC7C6" w14:textId="77777777" w:rsidR="008962CE" w:rsidRPr="004D1FA2" w:rsidRDefault="008962CE" w:rsidP="003A458A">
            <w:pPr>
              <w:rPr>
                <w:rFonts w:cs="Arial"/>
                <w:b/>
                <w:sz w:val="20"/>
                <w:szCs w:val="20"/>
              </w:rPr>
            </w:pPr>
            <w:r w:rsidRPr="004D1FA2">
              <w:rPr>
                <w:rFonts w:cs="Arial"/>
                <w:b/>
                <w:sz w:val="20"/>
                <w:szCs w:val="20"/>
              </w:rPr>
              <w:t xml:space="preserve">Burden of </w:t>
            </w:r>
            <w:r>
              <w:rPr>
                <w:rFonts w:cs="Arial"/>
                <w:b/>
                <w:sz w:val="20"/>
                <w:szCs w:val="20"/>
              </w:rPr>
              <w:t xml:space="preserve">FHT </w:t>
            </w:r>
            <w:r w:rsidRPr="004D1FA2">
              <w:rPr>
                <w:rFonts w:cs="Arial"/>
                <w:b/>
                <w:sz w:val="20"/>
                <w:szCs w:val="20"/>
              </w:rPr>
              <w:t>assessment o</w:t>
            </w:r>
            <w:r>
              <w:rPr>
                <w:rFonts w:cs="Arial"/>
                <w:b/>
                <w:sz w:val="20"/>
                <w:szCs w:val="20"/>
              </w:rPr>
              <w:t>n regulators</w:t>
            </w:r>
            <w:r w:rsidRPr="004D1FA2">
              <w:rPr>
                <w:rFonts w:cs="Arial"/>
                <w:b/>
                <w:sz w:val="20"/>
                <w:szCs w:val="20"/>
              </w:rPr>
              <w:t>:</w:t>
            </w:r>
          </w:p>
          <w:p w14:paraId="5BCFDFAE" w14:textId="77777777" w:rsidR="008962CE" w:rsidRPr="00B218F0" w:rsidRDefault="008962CE" w:rsidP="00614AF5">
            <w:pPr>
              <w:pStyle w:val="ListParagraph"/>
              <w:numPr>
                <w:ilvl w:val="0"/>
                <w:numId w:val="20"/>
              </w:numPr>
              <w:rPr>
                <w:sz w:val="20"/>
              </w:rPr>
            </w:pPr>
            <w:r w:rsidRPr="00CF23F2">
              <w:rPr>
                <w:rFonts w:cs="Arial"/>
                <w:sz w:val="20"/>
                <w:szCs w:val="20"/>
              </w:rPr>
              <w:t>Difficult to assess if no training</w:t>
            </w:r>
            <w:r>
              <w:rPr>
                <w:rFonts w:cs="Arial"/>
                <w:sz w:val="20"/>
                <w:szCs w:val="20"/>
              </w:rPr>
              <w:t>/certificate</w:t>
            </w:r>
            <w:r w:rsidRPr="00CF23F2">
              <w:rPr>
                <w:rFonts w:cs="Arial"/>
                <w:sz w:val="20"/>
                <w:szCs w:val="20"/>
              </w:rPr>
              <w:t xml:space="preserve"> has been completed; will be open to subjective decisions and discrepancies; need guidance</w:t>
            </w:r>
            <w:r>
              <w:rPr>
                <w:rFonts w:cs="Arial"/>
                <w:sz w:val="20"/>
                <w:szCs w:val="20"/>
              </w:rPr>
              <w:t>.</w:t>
            </w:r>
          </w:p>
          <w:p w14:paraId="50C4EDA7" w14:textId="77777777" w:rsidR="008962CE" w:rsidRPr="00B218F0" w:rsidRDefault="008962CE" w:rsidP="00614AF5">
            <w:pPr>
              <w:pStyle w:val="ListParagraph"/>
              <w:numPr>
                <w:ilvl w:val="0"/>
                <w:numId w:val="20"/>
              </w:numPr>
              <w:rPr>
                <w:rFonts w:cs="Arial"/>
                <w:sz w:val="20"/>
                <w:szCs w:val="20"/>
              </w:rPr>
            </w:pPr>
            <w:r>
              <w:rPr>
                <w:rFonts w:cs="Arial"/>
                <w:sz w:val="20"/>
                <w:szCs w:val="20"/>
              </w:rPr>
              <w:lastRenderedPageBreak/>
              <w:t>Challenges with large businesses (multiple staff), high staff turnover, infrequent inspections.</w:t>
            </w:r>
          </w:p>
          <w:p w14:paraId="2DDDF889" w14:textId="77777777" w:rsidR="008962CE" w:rsidRPr="00B218F0" w:rsidRDefault="008962CE" w:rsidP="00614AF5">
            <w:pPr>
              <w:pStyle w:val="ListParagraph"/>
              <w:numPr>
                <w:ilvl w:val="0"/>
                <w:numId w:val="20"/>
              </w:numPr>
              <w:rPr>
                <w:rFonts w:cs="Arial"/>
                <w:sz w:val="20"/>
                <w:szCs w:val="20"/>
              </w:rPr>
            </w:pPr>
            <w:r w:rsidRPr="58A14E8B">
              <w:rPr>
                <w:rFonts w:cs="Arial"/>
                <w:sz w:val="20"/>
                <w:szCs w:val="20"/>
              </w:rPr>
              <w:t>Provide authorised officers with an assessment framework.</w:t>
            </w:r>
          </w:p>
        </w:tc>
        <w:tc>
          <w:tcPr>
            <w:tcW w:w="1480" w:type="dxa"/>
          </w:tcPr>
          <w:p w14:paraId="37946395" w14:textId="77777777" w:rsidR="008962CE" w:rsidRPr="00CF23F2" w:rsidRDefault="008962CE" w:rsidP="003A458A">
            <w:pPr>
              <w:rPr>
                <w:rFonts w:cs="Arial"/>
                <w:sz w:val="20"/>
                <w:szCs w:val="20"/>
              </w:rPr>
            </w:pPr>
            <w:r w:rsidRPr="00CF23F2">
              <w:rPr>
                <w:rFonts w:cs="Arial"/>
                <w:sz w:val="20"/>
                <w:szCs w:val="20"/>
              </w:rPr>
              <w:lastRenderedPageBreak/>
              <w:t>local council</w:t>
            </w:r>
          </w:p>
        </w:tc>
        <w:tc>
          <w:tcPr>
            <w:tcW w:w="6799" w:type="dxa"/>
          </w:tcPr>
          <w:p w14:paraId="39B69881" w14:textId="5875A837" w:rsidR="008962CE" w:rsidRPr="00CF23F2" w:rsidRDefault="007A40CB" w:rsidP="003A458A">
            <w:pPr>
              <w:rPr>
                <w:rFonts w:cs="Arial"/>
                <w:sz w:val="20"/>
                <w:szCs w:val="20"/>
              </w:rPr>
            </w:pPr>
            <w:r w:rsidRPr="58A14E8B">
              <w:rPr>
                <w:rFonts w:cs="Arial"/>
                <w:sz w:val="20"/>
                <w:szCs w:val="20"/>
              </w:rPr>
              <w:t xml:space="preserve">Jurisdictions are responsible for implementation. </w:t>
            </w:r>
            <w:r>
              <w:rPr>
                <w:rFonts w:cs="Arial"/>
                <w:sz w:val="20"/>
                <w:szCs w:val="20"/>
              </w:rPr>
              <w:t>T</w:t>
            </w:r>
            <w:r w:rsidRPr="58A14E8B">
              <w:rPr>
                <w:rFonts w:cs="Arial"/>
                <w:sz w:val="20"/>
                <w:szCs w:val="20"/>
              </w:rPr>
              <w:t>hese comments will be forwarded to the IWG</w:t>
            </w:r>
            <w:r w:rsidRPr="00E312A7" w:rsidDel="00C64BA1">
              <w:rPr>
                <w:rFonts w:cs="Arial"/>
                <w:sz w:val="20"/>
                <w:szCs w:val="20"/>
              </w:rPr>
              <w:t xml:space="preserve"> </w:t>
            </w:r>
            <w:r>
              <w:rPr>
                <w:rFonts w:cs="Arial"/>
                <w:sz w:val="20"/>
                <w:szCs w:val="20"/>
              </w:rPr>
              <w:t>to consider implementation and support.</w:t>
            </w:r>
          </w:p>
        </w:tc>
      </w:tr>
      <w:tr w:rsidR="008962CE" w:rsidRPr="00CF23F2" w14:paraId="75721545" w14:textId="77777777" w:rsidTr="00FD5F2E">
        <w:tc>
          <w:tcPr>
            <w:tcW w:w="6458" w:type="dxa"/>
            <w:gridSpan w:val="2"/>
          </w:tcPr>
          <w:p w14:paraId="42420493" w14:textId="77777777" w:rsidR="008962CE" w:rsidRPr="00D2558D" w:rsidRDefault="008962CE" w:rsidP="003A458A">
            <w:pPr>
              <w:rPr>
                <w:rFonts w:cs="Arial"/>
                <w:b/>
                <w:sz w:val="20"/>
                <w:szCs w:val="20"/>
              </w:rPr>
            </w:pPr>
            <w:r w:rsidRPr="00D2558D">
              <w:rPr>
                <w:rFonts w:cs="Arial"/>
                <w:b/>
                <w:sz w:val="20"/>
                <w:szCs w:val="20"/>
              </w:rPr>
              <w:t>In-house training vs RTO:</w:t>
            </w:r>
          </w:p>
          <w:p w14:paraId="79B643EE" w14:textId="77777777" w:rsidR="008962CE" w:rsidRPr="00D2558D" w:rsidRDefault="008962CE" w:rsidP="00614AF5">
            <w:pPr>
              <w:pStyle w:val="ListParagraph"/>
              <w:numPr>
                <w:ilvl w:val="0"/>
                <w:numId w:val="25"/>
              </w:numPr>
              <w:rPr>
                <w:rFonts w:cs="Arial"/>
                <w:sz w:val="20"/>
                <w:szCs w:val="20"/>
              </w:rPr>
            </w:pPr>
            <w:r w:rsidRPr="58A14E8B">
              <w:rPr>
                <w:rFonts w:cs="Arial"/>
                <w:sz w:val="20"/>
                <w:szCs w:val="20"/>
              </w:rPr>
              <w:t>Agree with flexible approach to recognise business in-house training and induction programs and SOPs.</w:t>
            </w:r>
          </w:p>
          <w:p w14:paraId="6058FB11" w14:textId="77777777" w:rsidR="008962CE" w:rsidRPr="00D2558D" w:rsidRDefault="008962CE" w:rsidP="00614AF5">
            <w:pPr>
              <w:pStyle w:val="ListParagraph"/>
              <w:numPr>
                <w:ilvl w:val="0"/>
                <w:numId w:val="25"/>
              </w:numPr>
              <w:rPr>
                <w:rFonts w:cs="Arial"/>
                <w:sz w:val="20"/>
                <w:szCs w:val="20"/>
              </w:rPr>
            </w:pPr>
            <w:r w:rsidRPr="58A14E8B">
              <w:rPr>
                <w:rFonts w:cs="Arial"/>
                <w:sz w:val="20"/>
                <w:szCs w:val="20"/>
              </w:rPr>
              <w:t>Consider if FSS is adequately trained to provide in-house training to others, or whether to rely on RTO.</w:t>
            </w:r>
          </w:p>
          <w:p w14:paraId="50A4B3E2" w14:textId="77777777" w:rsidR="008962CE" w:rsidRPr="00D2558D" w:rsidRDefault="008962CE" w:rsidP="00614AF5">
            <w:pPr>
              <w:pStyle w:val="ListParagraph"/>
              <w:numPr>
                <w:ilvl w:val="0"/>
                <w:numId w:val="25"/>
              </w:numPr>
              <w:rPr>
                <w:rFonts w:cs="Arial"/>
                <w:sz w:val="20"/>
                <w:szCs w:val="20"/>
              </w:rPr>
            </w:pPr>
            <w:r w:rsidRPr="58A14E8B">
              <w:rPr>
                <w:rFonts w:cs="Arial"/>
                <w:sz w:val="20"/>
                <w:szCs w:val="20"/>
              </w:rPr>
              <w:t>Otherwise, state government free sites (e.g. ‘I’m Alert’ and ‘</w:t>
            </w:r>
            <w:proofErr w:type="spellStart"/>
            <w:r w:rsidRPr="58A14E8B">
              <w:rPr>
                <w:rFonts w:cs="Arial"/>
                <w:sz w:val="20"/>
                <w:szCs w:val="20"/>
              </w:rPr>
              <w:t>DoFoodSafely</w:t>
            </w:r>
            <w:proofErr w:type="spellEnd"/>
            <w:r w:rsidRPr="58A14E8B">
              <w:rPr>
                <w:rFonts w:cs="Arial"/>
                <w:sz w:val="20"/>
                <w:szCs w:val="20"/>
              </w:rPr>
              <w:t>’) should include identification measures to prevent people completing the training for others.</w:t>
            </w:r>
          </w:p>
        </w:tc>
        <w:tc>
          <w:tcPr>
            <w:tcW w:w="1480" w:type="dxa"/>
          </w:tcPr>
          <w:p w14:paraId="5995D6D7" w14:textId="77777777" w:rsidR="008962CE" w:rsidRPr="00CF23F2" w:rsidRDefault="008962CE" w:rsidP="003A458A">
            <w:pPr>
              <w:rPr>
                <w:rFonts w:cs="Arial"/>
                <w:sz w:val="20"/>
                <w:szCs w:val="20"/>
              </w:rPr>
            </w:pPr>
            <w:r w:rsidRPr="58A14E8B">
              <w:rPr>
                <w:rFonts w:cs="Arial"/>
                <w:sz w:val="20"/>
                <w:szCs w:val="20"/>
              </w:rPr>
              <w:t>state/territory government, advocacy group, local council</w:t>
            </w:r>
          </w:p>
          <w:p w14:paraId="645FEBF7" w14:textId="77777777" w:rsidR="008962CE" w:rsidRPr="00CF23F2" w:rsidRDefault="008962CE" w:rsidP="003A458A">
            <w:pPr>
              <w:rPr>
                <w:rFonts w:cs="Arial"/>
                <w:sz w:val="20"/>
                <w:szCs w:val="20"/>
              </w:rPr>
            </w:pPr>
          </w:p>
        </w:tc>
        <w:tc>
          <w:tcPr>
            <w:tcW w:w="6799" w:type="dxa"/>
          </w:tcPr>
          <w:p w14:paraId="4EEC5838" w14:textId="77777777" w:rsidR="008962CE" w:rsidRPr="00CF23F2" w:rsidRDefault="008962CE" w:rsidP="003A458A">
            <w:pPr>
              <w:rPr>
                <w:rFonts w:cs="Arial"/>
                <w:sz w:val="20"/>
                <w:szCs w:val="20"/>
              </w:rPr>
            </w:pPr>
            <w:r w:rsidRPr="58A14E8B">
              <w:rPr>
                <w:rFonts w:cs="Arial"/>
                <w:sz w:val="20"/>
                <w:szCs w:val="20"/>
              </w:rPr>
              <w:t xml:space="preserve">The proposed standard includes a more prescriptive requirement to provide clarity on the minimum-content food safety principles that need to be covered in food handler training, whether these are provided in-house, through online courses promoted by state/territory governments, or other vocational training providers. </w:t>
            </w:r>
          </w:p>
          <w:p w14:paraId="3474872A" w14:textId="19AB10AB" w:rsidR="008962CE" w:rsidRPr="00CF23F2" w:rsidRDefault="008962CE" w:rsidP="003A458A">
            <w:pPr>
              <w:rPr>
                <w:rFonts w:cs="Arial"/>
                <w:sz w:val="20"/>
                <w:szCs w:val="20"/>
              </w:rPr>
            </w:pPr>
            <w:r w:rsidRPr="58A14E8B">
              <w:rPr>
                <w:rFonts w:cs="Arial"/>
                <w:sz w:val="20"/>
                <w:szCs w:val="20"/>
              </w:rPr>
              <w:t>Feedback on requiring identification measures for online training is an implementation matter</w:t>
            </w:r>
            <w:r w:rsidR="007A40CB">
              <w:rPr>
                <w:rFonts w:cs="Arial"/>
                <w:sz w:val="20"/>
                <w:szCs w:val="20"/>
              </w:rPr>
              <w:t>. T</w:t>
            </w:r>
            <w:r w:rsidR="007A40CB" w:rsidRPr="58A14E8B">
              <w:rPr>
                <w:rFonts w:cs="Arial"/>
                <w:sz w:val="20"/>
                <w:szCs w:val="20"/>
              </w:rPr>
              <w:t>hese comments will be forwarded to the IWG</w:t>
            </w:r>
            <w:r w:rsidR="007A40CB" w:rsidRPr="00E312A7" w:rsidDel="00C64BA1">
              <w:rPr>
                <w:rFonts w:cs="Arial"/>
                <w:sz w:val="20"/>
                <w:szCs w:val="20"/>
              </w:rPr>
              <w:t xml:space="preserve"> </w:t>
            </w:r>
            <w:r w:rsidR="007A40CB">
              <w:rPr>
                <w:rFonts w:cs="Arial"/>
                <w:sz w:val="20"/>
                <w:szCs w:val="20"/>
              </w:rPr>
              <w:t>to consider implementation and support.</w:t>
            </w:r>
            <w:r w:rsidRPr="58A14E8B">
              <w:rPr>
                <w:rFonts w:cs="Arial"/>
                <w:sz w:val="20"/>
                <w:szCs w:val="20"/>
              </w:rPr>
              <w:t xml:space="preserve"> </w:t>
            </w:r>
          </w:p>
        </w:tc>
      </w:tr>
      <w:tr w:rsidR="008962CE" w:rsidRPr="00CF23F2" w14:paraId="13871019" w14:textId="77777777" w:rsidTr="00FD5F2E">
        <w:trPr>
          <w:trHeight w:val="410"/>
        </w:trPr>
        <w:tc>
          <w:tcPr>
            <w:tcW w:w="6458" w:type="dxa"/>
            <w:gridSpan w:val="2"/>
          </w:tcPr>
          <w:p w14:paraId="34A6EF0E" w14:textId="77777777" w:rsidR="008962CE" w:rsidRPr="0077248D" w:rsidRDefault="008962CE" w:rsidP="003A458A">
            <w:pPr>
              <w:rPr>
                <w:rFonts w:cs="Arial"/>
                <w:b/>
                <w:sz w:val="20"/>
                <w:szCs w:val="20"/>
              </w:rPr>
            </w:pPr>
            <w:r w:rsidRPr="0077248D">
              <w:rPr>
                <w:rFonts w:cs="Arial"/>
                <w:b/>
                <w:sz w:val="20"/>
                <w:szCs w:val="20"/>
              </w:rPr>
              <w:t>Training content/ format:</w:t>
            </w:r>
          </w:p>
          <w:p w14:paraId="032DB0A6" w14:textId="77777777" w:rsidR="008962CE" w:rsidRPr="006E3FE7" w:rsidRDefault="008962CE" w:rsidP="00614AF5">
            <w:pPr>
              <w:pStyle w:val="ListParagraph"/>
              <w:numPr>
                <w:ilvl w:val="0"/>
                <w:numId w:val="24"/>
              </w:numPr>
              <w:rPr>
                <w:rFonts w:cs="Arial"/>
                <w:sz w:val="20"/>
                <w:szCs w:val="20"/>
              </w:rPr>
            </w:pPr>
            <w:r w:rsidRPr="006E3FE7">
              <w:rPr>
                <w:rFonts w:cs="Arial"/>
                <w:sz w:val="20"/>
                <w:szCs w:val="20"/>
              </w:rPr>
              <w:t>Include multiple languages, options/resources for remote communities, face-to-face training and workplace assessments.</w:t>
            </w:r>
          </w:p>
          <w:p w14:paraId="0ADE8B80" w14:textId="77777777" w:rsidR="008962CE" w:rsidRDefault="008962CE" w:rsidP="00614AF5">
            <w:pPr>
              <w:pStyle w:val="ListParagraph"/>
              <w:numPr>
                <w:ilvl w:val="0"/>
                <w:numId w:val="24"/>
              </w:numPr>
              <w:rPr>
                <w:rFonts w:cs="Arial"/>
                <w:sz w:val="20"/>
                <w:szCs w:val="20"/>
              </w:rPr>
            </w:pPr>
            <w:r>
              <w:rPr>
                <w:rFonts w:cs="Arial"/>
                <w:sz w:val="20"/>
                <w:szCs w:val="20"/>
              </w:rPr>
              <w:t>I</w:t>
            </w:r>
            <w:r w:rsidRPr="00CF23F2">
              <w:rPr>
                <w:rFonts w:cs="Arial"/>
                <w:sz w:val="20"/>
                <w:szCs w:val="20"/>
              </w:rPr>
              <w:t xml:space="preserve">nclude relevant on-site training </w:t>
            </w:r>
            <w:r>
              <w:rPr>
                <w:rFonts w:cs="Arial"/>
                <w:sz w:val="20"/>
                <w:szCs w:val="20"/>
              </w:rPr>
              <w:t>(e.g.</w:t>
            </w:r>
            <w:r w:rsidRPr="00CF23F2">
              <w:rPr>
                <w:rFonts w:cs="Arial"/>
                <w:sz w:val="20"/>
                <w:szCs w:val="20"/>
              </w:rPr>
              <w:t xml:space="preserve"> aged care settings</w:t>
            </w:r>
            <w:r>
              <w:rPr>
                <w:rFonts w:cs="Arial"/>
                <w:sz w:val="20"/>
                <w:szCs w:val="20"/>
              </w:rPr>
              <w:t>)</w:t>
            </w:r>
            <w:r w:rsidRPr="00CF23F2">
              <w:rPr>
                <w:rFonts w:cs="Arial"/>
                <w:sz w:val="20"/>
                <w:szCs w:val="20"/>
              </w:rPr>
              <w:t xml:space="preserve"> including on food safety program, with input from industry and regular reviews</w:t>
            </w:r>
            <w:r>
              <w:rPr>
                <w:rFonts w:cs="Arial"/>
                <w:sz w:val="20"/>
                <w:szCs w:val="20"/>
              </w:rPr>
              <w:t>.</w:t>
            </w:r>
          </w:p>
          <w:p w14:paraId="169A7403" w14:textId="77777777" w:rsidR="008962CE" w:rsidRDefault="008962CE" w:rsidP="00614AF5">
            <w:pPr>
              <w:pStyle w:val="ListParagraph"/>
              <w:numPr>
                <w:ilvl w:val="0"/>
                <w:numId w:val="24"/>
              </w:numPr>
              <w:rPr>
                <w:rFonts w:cs="Arial"/>
                <w:sz w:val="20"/>
                <w:szCs w:val="20"/>
              </w:rPr>
            </w:pPr>
            <w:r>
              <w:rPr>
                <w:rFonts w:cs="Arial"/>
                <w:sz w:val="20"/>
                <w:szCs w:val="20"/>
              </w:rPr>
              <w:t xml:space="preserve">Mandate a set training course </w:t>
            </w:r>
            <w:r w:rsidRPr="00CF23F2">
              <w:rPr>
                <w:rFonts w:cs="Arial"/>
                <w:sz w:val="20"/>
                <w:szCs w:val="20"/>
              </w:rPr>
              <w:t>(with certificate, similar to RSA (i.e. no alternative option for previous experience, skills and knowledge)</w:t>
            </w:r>
            <w:r>
              <w:rPr>
                <w:rFonts w:cs="Arial"/>
                <w:sz w:val="20"/>
                <w:szCs w:val="20"/>
              </w:rPr>
              <w:t>.</w:t>
            </w:r>
          </w:p>
          <w:p w14:paraId="3E615EA3" w14:textId="77777777" w:rsidR="008962CE" w:rsidRPr="00A13451" w:rsidRDefault="008962CE" w:rsidP="00614AF5">
            <w:pPr>
              <w:pStyle w:val="ListParagraph"/>
              <w:numPr>
                <w:ilvl w:val="0"/>
                <w:numId w:val="24"/>
              </w:numPr>
              <w:rPr>
                <w:rFonts w:cs="Arial"/>
                <w:sz w:val="20"/>
                <w:szCs w:val="20"/>
              </w:rPr>
            </w:pPr>
            <w:r>
              <w:rPr>
                <w:rFonts w:cs="Arial"/>
                <w:sz w:val="20"/>
                <w:szCs w:val="20"/>
              </w:rPr>
              <w:t>I</w:t>
            </w:r>
            <w:r w:rsidRPr="00A13451">
              <w:rPr>
                <w:rFonts w:cs="Arial"/>
                <w:sz w:val="20"/>
                <w:szCs w:val="20"/>
              </w:rPr>
              <w:t>nclude additional modules, so if a business introduces a new high-risk process, they can access a training module specific to that technique.</w:t>
            </w:r>
          </w:p>
          <w:p w14:paraId="38786FB7" w14:textId="77777777" w:rsidR="008962CE" w:rsidRPr="006E3FE7" w:rsidRDefault="008962CE" w:rsidP="00614AF5">
            <w:pPr>
              <w:pStyle w:val="ListParagraph"/>
              <w:numPr>
                <w:ilvl w:val="0"/>
                <w:numId w:val="24"/>
              </w:numPr>
              <w:rPr>
                <w:rFonts w:cs="Arial"/>
                <w:sz w:val="20"/>
                <w:szCs w:val="20"/>
              </w:rPr>
            </w:pPr>
            <w:r w:rsidRPr="00A13451">
              <w:rPr>
                <w:rFonts w:cs="Arial"/>
                <w:sz w:val="20"/>
                <w:szCs w:val="20"/>
              </w:rPr>
              <w:t xml:space="preserve">Consider specialist training </w:t>
            </w:r>
            <w:r>
              <w:rPr>
                <w:rFonts w:cs="Arial"/>
                <w:sz w:val="20"/>
                <w:szCs w:val="20"/>
              </w:rPr>
              <w:t xml:space="preserve">(produced for regulators to provide) </w:t>
            </w:r>
            <w:r w:rsidRPr="00A13451">
              <w:rPr>
                <w:rFonts w:cs="Arial"/>
                <w:sz w:val="20"/>
                <w:szCs w:val="20"/>
              </w:rPr>
              <w:t>for businesses that use high</w:t>
            </w:r>
            <w:r>
              <w:rPr>
                <w:rFonts w:cs="Arial"/>
                <w:sz w:val="20"/>
                <w:szCs w:val="20"/>
              </w:rPr>
              <w:t>-</w:t>
            </w:r>
            <w:r w:rsidRPr="00A13451">
              <w:rPr>
                <w:rFonts w:cs="Arial"/>
                <w:sz w:val="20"/>
                <w:szCs w:val="20"/>
              </w:rPr>
              <w:t>risk processes e</w:t>
            </w:r>
            <w:r>
              <w:rPr>
                <w:rFonts w:cs="Arial"/>
                <w:sz w:val="20"/>
                <w:szCs w:val="20"/>
              </w:rPr>
              <w:t>.</w:t>
            </w:r>
            <w:r w:rsidRPr="00A13451">
              <w:rPr>
                <w:rFonts w:cs="Arial"/>
                <w:sz w:val="20"/>
                <w:szCs w:val="20"/>
              </w:rPr>
              <w:t>g</w:t>
            </w:r>
            <w:r>
              <w:rPr>
                <w:rFonts w:cs="Arial"/>
                <w:sz w:val="20"/>
                <w:szCs w:val="20"/>
              </w:rPr>
              <w:t>.</w:t>
            </w:r>
            <w:r w:rsidRPr="00A13451">
              <w:rPr>
                <w:rFonts w:cs="Arial"/>
                <w:sz w:val="20"/>
                <w:szCs w:val="20"/>
              </w:rPr>
              <w:t xml:space="preserve"> raw egg foods, sous vide</w:t>
            </w:r>
            <w:r>
              <w:rPr>
                <w:rFonts w:cs="Arial"/>
                <w:sz w:val="20"/>
                <w:szCs w:val="20"/>
              </w:rPr>
              <w:t>.</w:t>
            </w:r>
          </w:p>
        </w:tc>
        <w:tc>
          <w:tcPr>
            <w:tcW w:w="1480" w:type="dxa"/>
          </w:tcPr>
          <w:p w14:paraId="7F628F33" w14:textId="77777777" w:rsidR="008962CE" w:rsidRDefault="008962CE" w:rsidP="003A458A">
            <w:pPr>
              <w:rPr>
                <w:rFonts w:cs="Arial"/>
                <w:sz w:val="20"/>
                <w:szCs w:val="20"/>
              </w:rPr>
            </w:pPr>
          </w:p>
          <w:p w14:paraId="031CA1ED" w14:textId="77777777" w:rsidR="008962CE" w:rsidRPr="00CF23F2" w:rsidRDefault="008962CE" w:rsidP="003A458A">
            <w:pPr>
              <w:rPr>
                <w:rFonts w:cs="Arial"/>
                <w:sz w:val="20"/>
                <w:szCs w:val="20"/>
              </w:rPr>
            </w:pPr>
            <w:r>
              <w:rPr>
                <w:rFonts w:cs="Arial"/>
                <w:sz w:val="20"/>
                <w:szCs w:val="20"/>
              </w:rPr>
              <w:t xml:space="preserve">state/territory government, </w:t>
            </w:r>
            <w:r w:rsidRPr="00CF23F2">
              <w:rPr>
                <w:rFonts w:cs="Arial"/>
                <w:sz w:val="20"/>
                <w:szCs w:val="20"/>
              </w:rPr>
              <w:t>local council</w:t>
            </w:r>
            <w:r>
              <w:rPr>
                <w:rFonts w:cs="Arial"/>
                <w:sz w:val="20"/>
                <w:szCs w:val="20"/>
              </w:rPr>
              <w:t xml:space="preserve">, </w:t>
            </w:r>
            <w:r w:rsidRPr="00CF23F2">
              <w:rPr>
                <w:rFonts w:cs="Arial"/>
                <w:sz w:val="20"/>
                <w:szCs w:val="20"/>
              </w:rPr>
              <w:t>advocacy group</w:t>
            </w:r>
          </w:p>
        </w:tc>
        <w:tc>
          <w:tcPr>
            <w:tcW w:w="6799" w:type="dxa"/>
          </w:tcPr>
          <w:p w14:paraId="7C7CA117" w14:textId="77777777" w:rsidR="008962CE" w:rsidRDefault="008962CE" w:rsidP="003A458A">
            <w:pPr>
              <w:rPr>
                <w:rFonts w:cs="Arial"/>
                <w:sz w:val="20"/>
                <w:szCs w:val="20"/>
              </w:rPr>
            </w:pPr>
            <w:r w:rsidRPr="00CF23F2">
              <w:rPr>
                <w:rFonts w:cs="Arial"/>
                <w:sz w:val="20"/>
                <w:szCs w:val="20"/>
              </w:rPr>
              <w:t xml:space="preserve">FSANZ acknowledges </w:t>
            </w:r>
            <w:r>
              <w:rPr>
                <w:rFonts w:cs="Arial"/>
                <w:sz w:val="20"/>
                <w:szCs w:val="20"/>
              </w:rPr>
              <w:t>this feedback</w:t>
            </w:r>
            <w:r w:rsidRPr="00CF23F2">
              <w:rPr>
                <w:rFonts w:cs="Arial"/>
                <w:sz w:val="20"/>
                <w:szCs w:val="20"/>
              </w:rPr>
              <w:t xml:space="preserve">. </w:t>
            </w:r>
          </w:p>
          <w:p w14:paraId="543CDEB3" w14:textId="77777777" w:rsidR="008962CE" w:rsidRDefault="008962CE" w:rsidP="003A458A">
            <w:pPr>
              <w:rPr>
                <w:rFonts w:cs="Arial"/>
                <w:sz w:val="20"/>
                <w:szCs w:val="20"/>
              </w:rPr>
            </w:pPr>
          </w:p>
          <w:p w14:paraId="3E3866CC" w14:textId="77777777" w:rsidR="008962CE" w:rsidRDefault="008962CE" w:rsidP="003A458A">
            <w:pPr>
              <w:rPr>
                <w:rFonts w:cs="Arial"/>
                <w:sz w:val="20"/>
                <w:szCs w:val="20"/>
              </w:rPr>
            </w:pPr>
            <w:r w:rsidRPr="00CF23F2">
              <w:rPr>
                <w:rFonts w:cs="Arial"/>
                <w:sz w:val="20"/>
                <w:szCs w:val="20"/>
              </w:rPr>
              <w:t xml:space="preserve">The proposed standard includes requirements </w:t>
            </w:r>
            <w:r>
              <w:rPr>
                <w:rFonts w:cs="Arial"/>
                <w:sz w:val="20"/>
                <w:szCs w:val="20"/>
              </w:rPr>
              <w:t>to</w:t>
            </w:r>
            <w:r w:rsidRPr="00CF23F2">
              <w:rPr>
                <w:rFonts w:cs="Arial"/>
                <w:sz w:val="20"/>
                <w:szCs w:val="20"/>
              </w:rPr>
              <w:t xml:space="preserve"> </w:t>
            </w:r>
            <w:r>
              <w:rPr>
                <w:rFonts w:cs="Arial"/>
                <w:sz w:val="20"/>
                <w:szCs w:val="20"/>
              </w:rPr>
              <w:t>provide clarity on the minimum-</w:t>
            </w:r>
            <w:r w:rsidRPr="00CF23F2">
              <w:rPr>
                <w:rFonts w:cs="Arial"/>
                <w:sz w:val="20"/>
                <w:szCs w:val="20"/>
              </w:rPr>
              <w:t>content food safety principles that need to be c</w:t>
            </w:r>
            <w:r>
              <w:rPr>
                <w:rFonts w:cs="Arial"/>
                <w:sz w:val="20"/>
                <w:szCs w:val="20"/>
              </w:rPr>
              <w:t>overed in food handler training. Additional training modules may be considered by the relevant enforcement agency.</w:t>
            </w:r>
          </w:p>
          <w:p w14:paraId="14CC7DEC" w14:textId="77777777" w:rsidR="008962CE" w:rsidRDefault="008962CE" w:rsidP="003A458A">
            <w:pPr>
              <w:rPr>
                <w:rFonts w:cs="Arial"/>
                <w:sz w:val="20"/>
                <w:szCs w:val="20"/>
              </w:rPr>
            </w:pPr>
          </w:p>
          <w:p w14:paraId="04078A19" w14:textId="77777777" w:rsidR="008962CE" w:rsidRDefault="008962CE" w:rsidP="003A458A">
            <w:pPr>
              <w:rPr>
                <w:rFonts w:cs="Arial"/>
                <w:sz w:val="20"/>
                <w:szCs w:val="20"/>
              </w:rPr>
            </w:pPr>
            <w:r w:rsidRPr="00CF23F2">
              <w:rPr>
                <w:rFonts w:cs="Arial"/>
                <w:sz w:val="20"/>
                <w:szCs w:val="20"/>
              </w:rPr>
              <w:t xml:space="preserve">It is anticipated that guidance and tools to be developed will </w:t>
            </w:r>
            <w:r>
              <w:rPr>
                <w:rFonts w:cs="Arial"/>
                <w:sz w:val="20"/>
                <w:szCs w:val="20"/>
              </w:rPr>
              <w:t xml:space="preserve">consider these factors. </w:t>
            </w:r>
          </w:p>
          <w:p w14:paraId="30499FE0" w14:textId="61E0BCC9" w:rsidR="008962CE" w:rsidRPr="00CF23F2" w:rsidRDefault="007A40CB">
            <w:pPr>
              <w:rPr>
                <w:rFonts w:cs="Arial"/>
                <w:sz w:val="20"/>
                <w:szCs w:val="20"/>
              </w:rPr>
            </w:pPr>
            <w:r w:rsidRPr="58A14E8B">
              <w:rPr>
                <w:rFonts w:cs="Arial"/>
                <w:sz w:val="20"/>
                <w:szCs w:val="20"/>
              </w:rPr>
              <w:t xml:space="preserve">Jurisdictions are responsible for implementation. </w:t>
            </w:r>
            <w:r>
              <w:rPr>
                <w:rFonts w:cs="Arial"/>
                <w:sz w:val="20"/>
                <w:szCs w:val="20"/>
              </w:rPr>
              <w:t>T</w:t>
            </w:r>
            <w:r w:rsidRPr="58A14E8B">
              <w:rPr>
                <w:rFonts w:cs="Arial"/>
                <w:sz w:val="20"/>
                <w:szCs w:val="20"/>
              </w:rPr>
              <w:t>hese comments will be forwarded to the IWG</w:t>
            </w:r>
            <w:r w:rsidRPr="00E312A7" w:rsidDel="00C64BA1">
              <w:rPr>
                <w:rFonts w:cs="Arial"/>
                <w:sz w:val="20"/>
                <w:szCs w:val="20"/>
              </w:rPr>
              <w:t xml:space="preserve"> </w:t>
            </w:r>
            <w:r>
              <w:rPr>
                <w:rFonts w:cs="Arial"/>
                <w:sz w:val="20"/>
                <w:szCs w:val="20"/>
              </w:rPr>
              <w:t>to consider implementation and support.</w:t>
            </w:r>
          </w:p>
        </w:tc>
      </w:tr>
      <w:tr w:rsidR="008962CE" w:rsidRPr="00CF23F2" w14:paraId="1716F844" w14:textId="77777777" w:rsidTr="00FD5F2E">
        <w:tc>
          <w:tcPr>
            <w:tcW w:w="6458" w:type="dxa"/>
            <w:gridSpan w:val="2"/>
          </w:tcPr>
          <w:p w14:paraId="3F8139A4" w14:textId="77777777" w:rsidR="008962CE" w:rsidRPr="00D613F3" w:rsidRDefault="008962CE" w:rsidP="003A458A">
            <w:pPr>
              <w:rPr>
                <w:rFonts w:cs="Arial"/>
                <w:sz w:val="20"/>
                <w:szCs w:val="20"/>
              </w:rPr>
            </w:pPr>
            <w:r w:rsidRPr="00D613F3">
              <w:rPr>
                <w:rFonts w:cs="Arial"/>
                <w:sz w:val="20"/>
                <w:szCs w:val="20"/>
              </w:rPr>
              <w:t xml:space="preserve">Criteria/ guidelines/training package for FHT should be developed [by FSANZ] to ensure consistency, especially for in house training. </w:t>
            </w:r>
          </w:p>
        </w:tc>
        <w:tc>
          <w:tcPr>
            <w:tcW w:w="1480" w:type="dxa"/>
          </w:tcPr>
          <w:p w14:paraId="5B8D2902" w14:textId="77777777" w:rsidR="008962CE" w:rsidRPr="00CF23F2" w:rsidRDefault="008962CE" w:rsidP="003A458A">
            <w:pPr>
              <w:rPr>
                <w:rFonts w:cs="Arial"/>
                <w:sz w:val="20"/>
                <w:szCs w:val="20"/>
              </w:rPr>
            </w:pPr>
            <w:r w:rsidRPr="00CF23F2">
              <w:rPr>
                <w:rFonts w:cs="Arial"/>
                <w:sz w:val="20"/>
                <w:szCs w:val="20"/>
              </w:rPr>
              <w:t>local council</w:t>
            </w:r>
            <w:r>
              <w:rPr>
                <w:rFonts w:cs="Arial"/>
                <w:sz w:val="20"/>
                <w:szCs w:val="20"/>
              </w:rPr>
              <w:t xml:space="preserve">, </w:t>
            </w:r>
            <w:r w:rsidRPr="00CF23F2">
              <w:rPr>
                <w:rFonts w:cs="Arial"/>
                <w:sz w:val="20"/>
                <w:szCs w:val="20"/>
              </w:rPr>
              <w:t>service provider</w:t>
            </w:r>
          </w:p>
        </w:tc>
        <w:tc>
          <w:tcPr>
            <w:tcW w:w="6799" w:type="dxa"/>
          </w:tcPr>
          <w:p w14:paraId="516B2929" w14:textId="0D3610C1" w:rsidR="008962CE" w:rsidRPr="00CF23F2" w:rsidRDefault="007A40CB" w:rsidP="003A458A">
            <w:pPr>
              <w:rPr>
                <w:rFonts w:cs="Arial"/>
                <w:sz w:val="20"/>
                <w:szCs w:val="20"/>
              </w:rPr>
            </w:pPr>
            <w:r w:rsidRPr="58A14E8B">
              <w:rPr>
                <w:rFonts w:cs="Arial"/>
                <w:sz w:val="20"/>
                <w:szCs w:val="20"/>
              </w:rPr>
              <w:t xml:space="preserve">Jurisdictions are responsible for implementation. </w:t>
            </w:r>
            <w:r>
              <w:rPr>
                <w:rFonts w:cs="Arial"/>
                <w:sz w:val="20"/>
                <w:szCs w:val="20"/>
              </w:rPr>
              <w:t>T</w:t>
            </w:r>
            <w:r w:rsidRPr="58A14E8B">
              <w:rPr>
                <w:rFonts w:cs="Arial"/>
                <w:sz w:val="20"/>
                <w:szCs w:val="20"/>
              </w:rPr>
              <w:t>hese comments will be forwarded to the IWG</w:t>
            </w:r>
            <w:r w:rsidRPr="00E312A7" w:rsidDel="00C64BA1">
              <w:rPr>
                <w:rFonts w:cs="Arial"/>
                <w:sz w:val="20"/>
                <w:szCs w:val="20"/>
              </w:rPr>
              <w:t xml:space="preserve"> </w:t>
            </w:r>
            <w:r>
              <w:rPr>
                <w:rFonts w:cs="Arial"/>
                <w:sz w:val="20"/>
                <w:szCs w:val="20"/>
              </w:rPr>
              <w:t>to consider implementation and support.</w:t>
            </w:r>
            <w:r w:rsidR="0081747A">
              <w:rPr>
                <w:rFonts w:cs="Arial"/>
                <w:sz w:val="20"/>
                <w:szCs w:val="20"/>
              </w:rPr>
              <w:t xml:space="preserve"> </w:t>
            </w:r>
            <w:r w:rsidR="008962CE">
              <w:rPr>
                <w:rFonts w:cs="Arial"/>
                <w:sz w:val="20"/>
                <w:szCs w:val="20"/>
              </w:rPr>
              <w:t>FSANZ is a member of the working group.</w:t>
            </w:r>
          </w:p>
        </w:tc>
      </w:tr>
      <w:tr w:rsidR="008962CE" w:rsidRPr="00CF23F2" w14:paraId="3D4B6270" w14:textId="77777777" w:rsidTr="00FD5F2E">
        <w:tc>
          <w:tcPr>
            <w:tcW w:w="6458" w:type="dxa"/>
            <w:gridSpan w:val="2"/>
          </w:tcPr>
          <w:p w14:paraId="673F1188" w14:textId="77777777" w:rsidR="008962CE" w:rsidRPr="00D613F3" w:rsidRDefault="008962CE" w:rsidP="003A458A">
            <w:pPr>
              <w:rPr>
                <w:rFonts w:cs="Arial"/>
                <w:sz w:val="20"/>
                <w:szCs w:val="20"/>
              </w:rPr>
            </w:pPr>
            <w:r w:rsidRPr="00D613F3">
              <w:rPr>
                <w:rFonts w:cs="Arial"/>
                <w:sz w:val="20"/>
                <w:szCs w:val="20"/>
              </w:rPr>
              <w:t>Councils should be able to mandate acceptable competency standards (e.g. I’m Alert).</w:t>
            </w:r>
          </w:p>
        </w:tc>
        <w:tc>
          <w:tcPr>
            <w:tcW w:w="1480" w:type="dxa"/>
          </w:tcPr>
          <w:p w14:paraId="79907D86"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372C65D5" w14:textId="77777777" w:rsidR="008962CE" w:rsidRPr="00CF23F2" w:rsidRDefault="008962CE" w:rsidP="003A458A">
            <w:pPr>
              <w:rPr>
                <w:rFonts w:cs="Arial"/>
                <w:sz w:val="20"/>
                <w:szCs w:val="20"/>
              </w:rPr>
            </w:pPr>
            <w:r>
              <w:rPr>
                <w:rFonts w:cs="Arial"/>
                <w:sz w:val="20"/>
                <w:szCs w:val="20"/>
              </w:rPr>
              <w:t xml:space="preserve">Powers of an authorised officer are set out in relevant state/territory legislation including Food Acts which are outside FSANZ remit. </w:t>
            </w:r>
          </w:p>
        </w:tc>
      </w:tr>
      <w:tr w:rsidR="008962CE" w:rsidRPr="00CF23F2" w14:paraId="142BDA68" w14:textId="77777777" w:rsidTr="00FD5F2E">
        <w:tc>
          <w:tcPr>
            <w:tcW w:w="6458" w:type="dxa"/>
            <w:gridSpan w:val="2"/>
          </w:tcPr>
          <w:p w14:paraId="100C3629" w14:textId="77777777" w:rsidR="008962CE" w:rsidRDefault="008962CE" w:rsidP="003A458A">
            <w:pPr>
              <w:rPr>
                <w:rFonts w:cs="Arial"/>
                <w:sz w:val="20"/>
                <w:szCs w:val="20"/>
              </w:rPr>
            </w:pPr>
            <w:r w:rsidRPr="0077248D">
              <w:rPr>
                <w:rFonts w:cs="Arial"/>
                <w:b/>
                <w:sz w:val="20"/>
                <w:szCs w:val="20"/>
              </w:rPr>
              <w:t>Cost</w:t>
            </w:r>
            <w:r>
              <w:rPr>
                <w:rFonts w:cs="Arial"/>
                <w:sz w:val="20"/>
                <w:szCs w:val="20"/>
              </w:rPr>
              <w:t>:</w:t>
            </w:r>
          </w:p>
          <w:p w14:paraId="3F8683B5" w14:textId="77777777" w:rsidR="008962CE" w:rsidRPr="00A13451" w:rsidRDefault="008962CE" w:rsidP="00614AF5">
            <w:pPr>
              <w:pStyle w:val="ListParagraph"/>
              <w:numPr>
                <w:ilvl w:val="0"/>
                <w:numId w:val="26"/>
              </w:numPr>
              <w:rPr>
                <w:rFonts w:cs="Arial"/>
                <w:sz w:val="20"/>
                <w:szCs w:val="20"/>
              </w:rPr>
            </w:pPr>
            <w:r w:rsidRPr="00A13451">
              <w:rPr>
                <w:rFonts w:cs="Arial"/>
                <w:sz w:val="20"/>
                <w:szCs w:val="20"/>
              </w:rPr>
              <w:t>Consider subsidising or providing free online training for increased uptake and for those without in-house training capacity</w:t>
            </w:r>
            <w:r>
              <w:rPr>
                <w:rFonts w:cs="Arial"/>
                <w:sz w:val="20"/>
                <w:szCs w:val="20"/>
              </w:rPr>
              <w:t>;</w:t>
            </w:r>
            <w:r w:rsidRPr="00A13451" w:rsidDel="00A13451">
              <w:rPr>
                <w:rFonts w:cs="Arial"/>
                <w:sz w:val="20"/>
                <w:szCs w:val="20"/>
              </w:rPr>
              <w:t xml:space="preserve"> </w:t>
            </w:r>
            <w:r w:rsidRPr="00A13451">
              <w:rPr>
                <w:rFonts w:cs="Arial"/>
                <w:sz w:val="20"/>
                <w:szCs w:val="20"/>
              </w:rPr>
              <w:t>or e.g. reduced inspection fees</w:t>
            </w:r>
          </w:p>
          <w:p w14:paraId="2677952A" w14:textId="77777777" w:rsidR="008962CE" w:rsidRPr="00A13451" w:rsidRDefault="008962CE" w:rsidP="00614AF5">
            <w:pPr>
              <w:pStyle w:val="ListParagraph"/>
              <w:numPr>
                <w:ilvl w:val="0"/>
                <w:numId w:val="26"/>
              </w:numPr>
              <w:rPr>
                <w:rFonts w:cs="Arial"/>
                <w:sz w:val="20"/>
                <w:szCs w:val="20"/>
              </w:rPr>
            </w:pPr>
            <w:r w:rsidRPr="00A13451">
              <w:rPr>
                <w:rFonts w:cs="Arial"/>
                <w:sz w:val="20"/>
                <w:szCs w:val="20"/>
              </w:rPr>
              <w:t>While free for businesses, the I’m Alert subscription costs council.</w:t>
            </w:r>
          </w:p>
          <w:p w14:paraId="54A24100" w14:textId="6B8555E6" w:rsidR="003E676F" w:rsidRPr="00B61BE2" w:rsidRDefault="008962CE" w:rsidP="00614AF5">
            <w:pPr>
              <w:pStyle w:val="ListParagraph"/>
              <w:numPr>
                <w:ilvl w:val="0"/>
                <w:numId w:val="26"/>
              </w:numPr>
              <w:rPr>
                <w:rFonts w:cs="Arial"/>
                <w:sz w:val="20"/>
                <w:szCs w:val="20"/>
              </w:rPr>
            </w:pPr>
            <w:r w:rsidRPr="00A13451">
              <w:rPr>
                <w:rFonts w:cs="Arial"/>
                <w:sz w:val="20"/>
                <w:szCs w:val="20"/>
              </w:rPr>
              <w:lastRenderedPageBreak/>
              <w:t>Consider funding opportunities or prescribed training fees and charges.</w:t>
            </w:r>
          </w:p>
        </w:tc>
        <w:tc>
          <w:tcPr>
            <w:tcW w:w="1480" w:type="dxa"/>
          </w:tcPr>
          <w:p w14:paraId="6FA4878C" w14:textId="77777777" w:rsidR="008962CE" w:rsidRPr="00CF23F2" w:rsidRDefault="008962CE" w:rsidP="003A458A">
            <w:pPr>
              <w:rPr>
                <w:rFonts w:cs="Arial"/>
                <w:sz w:val="20"/>
                <w:szCs w:val="20"/>
              </w:rPr>
            </w:pPr>
            <w:r w:rsidRPr="00CF23F2">
              <w:rPr>
                <w:rFonts w:cs="Arial"/>
                <w:sz w:val="20"/>
                <w:szCs w:val="20"/>
              </w:rPr>
              <w:lastRenderedPageBreak/>
              <w:t>service provider, local council</w:t>
            </w:r>
          </w:p>
        </w:tc>
        <w:tc>
          <w:tcPr>
            <w:tcW w:w="6799" w:type="dxa"/>
          </w:tcPr>
          <w:p w14:paraId="15F0EAF1" w14:textId="77777777" w:rsidR="008962CE" w:rsidRDefault="008962CE" w:rsidP="003A458A">
            <w:pPr>
              <w:rPr>
                <w:rFonts w:cs="Arial"/>
                <w:sz w:val="20"/>
                <w:szCs w:val="20"/>
              </w:rPr>
            </w:pPr>
            <w:r>
              <w:rPr>
                <w:rFonts w:cs="Arial"/>
                <w:sz w:val="20"/>
                <w:szCs w:val="20"/>
              </w:rPr>
              <w:t>There are many food handler training options currently available, including those promoted by state/territory government that are no cost to local government or businesses.</w:t>
            </w:r>
          </w:p>
          <w:p w14:paraId="5671D460" w14:textId="77777777" w:rsidR="008962CE" w:rsidRDefault="008962CE" w:rsidP="003A458A">
            <w:pPr>
              <w:rPr>
                <w:rFonts w:cs="Arial"/>
                <w:sz w:val="20"/>
                <w:szCs w:val="20"/>
              </w:rPr>
            </w:pPr>
          </w:p>
          <w:p w14:paraId="67ED42E3" w14:textId="77777777" w:rsidR="008962CE" w:rsidRPr="00CF23F2" w:rsidRDefault="008962CE" w:rsidP="003A458A">
            <w:pPr>
              <w:rPr>
                <w:rFonts w:cs="Arial"/>
                <w:sz w:val="20"/>
                <w:szCs w:val="20"/>
              </w:rPr>
            </w:pPr>
            <w:r>
              <w:rPr>
                <w:rFonts w:cs="Arial"/>
                <w:sz w:val="20"/>
                <w:szCs w:val="20"/>
              </w:rPr>
              <w:t>FSANZ also notes NSW DPI public submission to consider hosting</w:t>
            </w:r>
            <w:r w:rsidRPr="00CF23F2">
              <w:rPr>
                <w:rFonts w:cs="Arial"/>
                <w:sz w:val="20"/>
                <w:szCs w:val="20"/>
              </w:rPr>
              <w:t xml:space="preserve"> an online free resource as an option for businesses</w:t>
            </w:r>
            <w:r>
              <w:rPr>
                <w:rFonts w:cs="Arial"/>
                <w:sz w:val="20"/>
                <w:szCs w:val="20"/>
              </w:rPr>
              <w:t>.</w:t>
            </w:r>
            <w:r w:rsidRPr="00CF23F2">
              <w:rPr>
                <w:rFonts w:cs="Arial"/>
                <w:sz w:val="20"/>
                <w:szCs w:val="20"/>
              </w:rPr>
              <w:t xml:space="preserve"> </w:t>
            </w:r>
          </w:p>
        </w:tc>
      </w:tr>
      <w:tr w:rsidR="008962CE" w:rsidRPr="00CF23F2" w14:paraId="48A82AE0" w14:textId="77777777" w:rsidTr="00B61BE2">
        <w:tc>
          <w:tcPr>
            <w:tcW w:w="14737" w:type="dxa"/>
            <w:gridSpan w:val="4"/>
            <w:shd w:val="clear" w:color="auto" w:fill="C6D9F1" w:themeFill="text2" w:themeFillTint="33"/>
          </w:tcPr>
          <w:p w14:paraId="71667662" w14:textId="77777777" w:rsidR="008962CE" w:rsidRDefault="008962CE" w:rsidP="003A458A">
            <w:pPr>
              <w:rPr>
                <w:rFonts w:cs="Arial"/>
                <w:b/>
                <w:sz w:val="20"/>
                <w:szCs w:val="20"/>
              </w:rPr>
            </w:pPr>
            <w:r>
              <w:rPr>
                <w:rFonts w:cs="Arial"/>
                <w:b/>
                <w:sz w:val="20"/>
                <w:szCs w:val="20"/>
              </w:rPr>
              <w:t xml:space="preserve">Implementation - </w:t>
            </w:r>
            <w:r w:rsidRPr="000F5A57">
              <w:rPr>
                <w:rFonts w:cs="Arial"/>
                <w:b/>
                <w:sz w:val="20"/>
                <w:szCs w:val="20"/>
              </w:rPr>
              <w:t xml:space="preserve">Evidence </w:t>
            </w:r>
            <w:r>
              <w:rPr>
                <w:rFonts w:cs="Arial"/>
                <w:b/>
                <w:sz w:val="20"/>
                <w:szCs w:val="20"/>
              </w:rPr>
              <w:t xml:space="preserve">(E) </w:t>
            </w:r>
            <w:r w:rsidRPr="000F5A57">
              <w:rPr>
                <w:rFonts w:cs="Arial"/>
                <w:b/>
                <w:sz w:val="20"/>
                <w:szCs w:val="20"/>
              </w:rPr>
              <w:t>substantiation</w:t>
            </w:r>
          </w:p>
          <w:p w14:paraId="02D88D0F" w14:textId="77777777" w:rsidR="008962CE" w:rsidRPr="00CF23F2" w:rsidRDefault="008962CE" w:rsidP="003A458A">
            <w:pPr>
              <w:rPr>
                <w:rFonts w:cs="Arial"/>
                <w:sz w:val="20"/>
                <w:szCs w:val="20"/>
              </w:rPr>
            </w:pPr>
          </w:p>
        </w:tc>
      </w:tr>
      <w:tr w:rsidR="008962CE" w:rsidRPr="00CF23F2" w14:paraId="29177B32" w14:textId="77777777" w:rsidTr="00FD5F2E">
        <w:tc>
          <w:tcPr>
            <w:tcW w:w="6458" w:type="dxa"/>
            <w:gridSpan w:val="2"/>
          </w:tcPr>
          <w:p w14:paraId="7681B694" w14:textId="77777777" w:rsidR="008962CE" w:rsidRPr="009D5709" w:rsidRDefault="008962CE" w:rsidP="003A458A">
            <w:pPr>
              <w:rPr>
                <w:rFonts w:cs="Arial"/>
                <w:sz w:val="20"/>
                <w:szCs w:val="20"/>
              </w:rPr>
            </w:pPr>
            <w:r w:rsidRPr="009D5709">
              <w:rPr>
                <w:rFonts w:cs="Arial"/>
                <w:sz w:val="20"/>
                <w:szCs w:val="20"/>
              </w:rPr>
              <w:t>Noted that evidence keeping templates are readily available through regulatory agencies and Safe Food Australia.</w:t>
            </w:r>
          </w:p>
        </w:tc>
        <w:tc>
          <w:tcPr>
            <w:tcW w:w="1480" w:type="dxa"/>
          </w:tcPr>
          <w:p w14:paraId="69464F7D" w14:textId="77777777" w:rsidR="008962CE" w:rsidRPr="00CF23F2" w:rsidRDefault="008962CE" w:rsidP="003A458A">
            <w:pPr>
              <w:rPr>
                <w:rFonts w:cs="Arial"/>
                <w:sz w:val="20"/>
                <w:szCs w:val="20"/>
              </w:rPr>
            </w:pPr>
            <w:r w:rsidRPr="00CF23F2">
              <w:rPr>
                <w:rFonts w:cs="Arial"/>
                <w:sz w:val="20"/>
                <w:szCs w:val="20"/>
              </w:rPr>
              <w:t>state/territory government, service provider</w:t>
            </w:r>
          </w:p>
        </w:tc>
        <w:tc>
          <w:tcPr>
            <w:tcW w:w="6799" w:type="dxa"/>
          </w:tcPr>
          <w:p w14:paraId="496454D6" w14:textId="10947B6B" w:rsidR="008962CE" w:rsidRPr="00CF23F2" w:rsidRDefault="007E2728" w:rsidP="003A458A">
            <w:pPr>
              <w:rPr>
                <w:rFonts w:cs="Arial"/>
                <w:sz w:val="20"/>
                <w:szCs w:val="20"/>
              </w:rPr>
            </w:pPr>
            <w:r>
              <w:rPr>
                <w:rFonts w:cs="Arial"/>
                <w:sz w:val="20"/>
                <w:szCs w:val="20"/>
              </w:rPr>
              <w:t>Noted</w:t>
            </w:r>
            <w:r w:rsidR="008962CE">
              <w:rPr>
                <w:rFonts w:cs="Arial"/>
                <w:sz w:val="20"/>
                <w:szCs w:val="20"/>
              </w:rPr>
              <w:t>. The 12-month transition time also provides opportunity to develop tools to address any gaps in guidance material.</w:t>
            </w:r>
            <w:r w:rsidR="0081747A">
              <w:rPr>
                <w:rFonts w:cs="Arial"/>
                <w:sz w:val="20"/>
                <w:szCs w:val="20"/>
              </w:rPr>
              <w:t xml:space="preserve"> </w:t>
            </w:r>
          </w:p>
        </w:tc>
      </w:tr>
      <w:tr w:rsidR="008962CE" w:rsidRPr="00CF23F2" w14:paraId="52DDC089" w14:textId="77777777" w:rsidTr="00FD5F2E">
        <w:tc>
          <w:tcPr>
            <w:tcW w:w="6458" w:type="dxa"/>
            <w:gridSpan w:val="2"/>
          </w:tcPr>
          <w:p w14:paraId="344058C4" w14:textId="77777777" w:rsidR="008962CE" w:rsidRDefault="008962CE" w:rsidP="003A458A">
            <w:pPr>
              <w:rPr>
                <w:rFonts w:cs="Arial"/>
                <w:sz w:val="20"/>
                <w:szCs w:val="20"/>
              </w:rPr>
            </w:pPr>
            <w:r w:rsidRPr="005E5518">
              <w:rPr>
                <w:rFonts w:cs="Arial"/>
                <w:sz w:val="20"/>
                <w:szCs w:val="20"/>
              </w:rPr>
              <w:t xml:space="preserve">The requirements will enable a consistent approach where use of jurisdiction’s guidance will be recognised as sufficient. </w:t>
            </w:r>
          </w:p>
          <w:p w14:paraId="04DE04C2" w14:textId="240022B6" w:rsidR="003E676F" w:rsidRPr="005E5518" w:rsidRDefault="003E676F" w:rsidP="003A458A">
            <w:pPr>
              <w:rPr>
                <w:rFonts w:cs="Arial"/>
                <w:sz w:val="20"/>
                <w:szCs w:val="20"/>
              </w:rPr>
            </w:pPr>
          </w:p>
        </w:tc>
        <w:tc>
          <w:tcPr>
            <w:tcW w:w="1480" w:type="dxa"/>
          </w:tcPr>
          <w:p w14:paraId="546946EA" w14:textId="77777777" w:rsidR="008962CE" w:rsidRPr="00CF23F2" w:rsidRDefault="008962CE" w:rsidP="003A458A">
            <w:pPr>
              <w:rPr>
                <w:rFonts w:cs="Arial"/>
                <w:sz w:val="20"/>
                <w:szCs w:val="20"/>
              </w:rPr>
            </w:pPr>
            <w:r w:rsidRPr="00CF23F2">
              <w:rPr>
                <w:rFonts w:cs="Arial"/>
                <w:sz w:val="20"/>
                <w:szCs w:val="20"/>
              </w:rPr>
              <w:t>state/territory government</w:t>
            </w:r>
          </w:p>
        </w:tc>
        <w:tc>
          <w:tcPr>
            <w:tcW w:w="6799" w:type="dxa"/>
          </w:tcPr>
          <w:p w14:paraId="65D260F0" w14:textId="0DD21F7F" w:rsidR="008962CE" w:rsidRPr="00CF23F2" w:rsidRDefault="007E2728" w:rsidP="003A458A">
            <w:pPr>
              <w:rPr>
                <w:rFonts w:cs="Arial"/>
                <w:sz w:val="20"/>
                <w:szCs w:val="20"/>
              </w:rPr>
            </w:pPr>
            <w:r>
              <w:rPr>
                <w:rFonts w:cs="Arial"/>
                <w:sz w:val="20"/>
                <w:szCs w:val="20"/>
              </w:rPr>
              <w:t>Noted</w:t>
            </w:r>
          </w:p>
        </w:tc>
      </w:tr>
      <w:tr w:rsidR="008962CE" w:rsidRPr="00CF23F2" w14:paraId="135C4423" w14:textId="77777777" w:rsidTr="00FD5F2E">
        <w:tc>
          <w:tcPr>
            <w:tcW w:w="6458" w:type="dxa"/>
            <w:gridSpan w:val="2"/>
          </w:tcPr>
          <w:p w14:paraId="20303072" w14:textId="77777777" w:rsidR="008962CE" w:rsidRDefault="008962CE" w:rsidP="003A458A">
            <w:pPr>
              <w:rPr>
                <w:rFonts w:cs="Arial"/>
                <w:sz w:val="20"/>
                <w:szCs w:val="20"/>
              </w:rPr>
            </w:pPr>
            <w:r w:rsidRPr="00DC36FA">
              <w:rPr>
                <w:rFonts w:cs="Arial"/>
                <w:b/>
                <w:sz w:val="20"/>
                <w:szCs w:val="20"/>
              </w:rPr>
              <w:t>Challenges</w:t>
            </w:r>
            <w:r>
              <w:rPr>
                <w:rFonts w:cs="Arial"/>
                <w:sz w:val="20"/>
                <w:szCs w:val="20"/>
              </w:rPr>
              <w:t>:</w:t>
            </w:r>
          </w:p>
          <w:p w14:paraId="73BF55BC" w14:textId="77777777" w:rsidR="008962CE" w:rsidRDefault="008962CE" w:rsidP="00614AF5">
            <w:pPr>
              <w:pStyle w:val="ListParagraph"/>
              <w:numPr>
                <w:ilvl w:val="0"/>
                <w:numId w:val="28"/>
              </w:numPr>
              <w:rPr>
                <w:rFonts w:cs="Arial"/>
                <w:sz w:val="20"/>
                <w:szCs w:val="20"/>
              </w:rPr>
            </w:pPr>
            <w:r>
              <w:rPr>
                <w:rFonts w:cs="Arial"/>
                <w:sz w:val="20"/>
                <w:szCs w:val="20"/>
              </w:rPr>
              <w:t>A</w:t>
            </w:r>
            <w:r w:rsidRPr="00DC36FA">
              <w:rPr>
                <w:rFonts w:cs="Arial"/>
                <w:sz w:val="20"/>
                <w:szCs w:val="20"/>
              </w:rPr>
              <w:t xml:space="preserve"> significant re-work of LGA education/</w:t>
            </w:r>
            <w:r>
              <w:rPr>
                <w:rFonts w:cs="Arial"/>
                <w:sz w:val="20"/>
                <w:szCs w:val="20"/>
              </w:rPr>
              <w:t xml:space="preserve"> </w:t>
            </w:r>
            <w:r w:rsidRPr="00DC36FA">
              <w:rPr>
                <w:rFonts w:cs="Arial"/>
                <w:sz w:val="20"/>
                <w:szCs w:val="20"/>
              </w:rPr>
              <w:t>enforcement program</w:t>
            </w:r>
            <w:r>
              <w:rPr>
                <w:rFonts w:cs="Arial"/>
                <w:sz w:val="20"/>
                <w:szCs w:val="20"/>
              </w:rPr>
              <w:t xml:space="preserve"> will be needed to implement the standard</w:t>
            </w:r>
            <w:r w:rsidRPr="00DC36FA">
              <w:rPr>
                <w:rFonts w:cs="Arial"/>
                <w:sz w:val="20"/>
                <w:szCs w:val="20"/>
              </w:rPr>
              <w:t xml:space="preserve">. </w:t>
            </w:r>
          </w:p>
          <w:p w14:paraId="0E4902B6" w14:textId="77777777" w:rsidR="008962CE" w:rsidRDefault="008962CE" w:rsidP="00614AF5">
            <w:pPr>
              <w:pStyle w:val="ListParagraph"/>
              <w:numPr>
                <w:ilvl w:val="0"/>
                <w:numId w:val="28"/>
              </w:numPr>
              <w:rPr>
                <w:rFonts w:cs="Arial"/>
                <w:sz w:val="20"/>
                <w:szCs w:val="20"/>
              </w:rPr>
            </w:pPr>
            <w:r>
              <w:rPr>
                <w:rFonts w:cs="Arial"/>
                <w:sz w:val="20"/>
                <w:szCs w:val="20"/>
              </w:rPr>
              <w:t>The standard wi</w:t>
            </w:r>
            <w:r w:rsidRPr="00DC36FA">
              <w:rPr>
                <w:rFonts w:cs="Arial"/>
                <w:sz w:val="20"/>
                <w:szCs w:val="20"/>
              </w:rPr>
              <w:t xml:space="preserve">ll </w:t>
            </w:r>
            <w:r>
              <w:rPr>
                <w:rFonts w:cs="Arial"/>
                <w:sz w:val="20"/>
                <w:szCs w:val="20"/>
              </w:rPr>
              <w:t xml:space="preserve">likely present a </w:t>
            </w:r>
            <w:r w:rsidRPr="00DC36FA">
              <w:rPr>
                <w:rFonts w:cs="Arial"/>
                <w:sz w:val="20"/>
                <w:szCs w:val="20"/>
              </w:rPr>
              <w:t xml:space="preserve">challenging change for food businesses and </w:t>
            </w:r>
            <w:r>
              <w:rPr>
                <w:rFonts w:cs="Arial"/>
                <w:sz w:val="20"/>
                <w:szCs w:val="20"/>
              </w:rPr>
              <w:t>subsequently</w:t>
            </w:r>
            <w:r w:rsidRPr="00DC36FA">
              <w:rPr>
                <w:rFonts w:cs="Arial"/>
                <w:sz w:val="20"/>
                <w:szCs w:val="20"/>
              </w:rPr>
              <w:t xml:space="preserve"> local government, in </w:t>
            </w:r>
            <w:r>
              <w:rPr>
                <w:rFonts w:cs="Arial"/>
                <w:sz w:val="20"/>
                <w:szCs w:val="20"/>
              </w:rPr>
              <w:t>education</w:t>
            </w:r>
            <w:r w:rsidRPr="00DC36FA">
              <w:rPr>
                <w:rFonts w:cs="Arial"/>
                <w:sz w:val="20"/>
                <w:szCs w:val="20"/>
              </w:rPr>
              <w:t xml:space="preserve"> and enforcement of new provisions.</w:t>
            </w:r>
          </w:p>
          <w:p w14:paraId="21F9CBDF" w14:textId="77777777" w:rsidR="008962CE" w:rsidRPr="00DC36FA" w:rsidRDefault="008962CE" w:rsidP="00614AF5">
            <w:pPr>
              <w:pStyle w:val="ListParagraph"/>
              <w:numPr>
                <w:ilvl w:val="0"/>
                <w:numId w:val="28"/>
              </w:numPr>
              <w:rPr>
                <w:rFonts w:cs="Arial"/>
                <w:sz w:val="20"/>
                <w:szCs w:val="20"/>
              </w:rPr>
            </w:pPr>
            <w:r>
              <w:rPr>
                <w:rFonts w:cs="Arial"/>
                <w:sz w:val="20"/>
                <w:szCs w:val="20"/>
              </w:rPr>
              <w:t>The a</w:t>
            </w:r>
            <w:r w:rsidRPr="00DC36FA">
              <w:rPr>
                <w:rFonts w:cs="Arial"/>
                <w:sz w:val="20"/>
                <w:szCs w:val="20"/>
              </w:rPr>
              <w:t>lternate method of compliance</w:t>
            </w:r>
            <w:r>
              <w:rPr>
                <w:rFonts w:cs="Arial"/>
                <w:sz w:val="20"/>
                <w:szCs w:val="20"/>
              </w:rPr>
              <w:t xml:space="preserve"> in </w:t>
            </w:r>
            <w:r w:rsidRPr="00B12B61">
              <w:rPr>
                <w:rFonts w:cs="Arial"/>
                <w:sz w:val="20"/>
                <w:szCs w:val="20"/>
              </w:rPr>
              <w:t>the E clause:</w:t>
            </w:r>
            <w:r w:rsidRPr="00DC36FA">
              <w:rPr>
                <w:rFonts w:cs="Arial"/>
                <w:sz w:val="20"/>
                <w:szCs w:val="20"/>
              </w:rPr>
              <w:t xml:space="preserve"> </w:t>
            </w:r>
          </w:p>
          <w:p w14:paraId="070EF5FE" w14:textId="77777777" w:rsidR="008962CE" w:rsidRPr="00CF23F2" w:rsidRDefault="008962CE" w:rsidP="00614AF5">
            <w:pPr>
              <w:pStyle w:val="ListParagraph"/>
              <w:numPr>
                <w:ilvl w:val="1"/>
                <w:numId w:val="28"/>
              </w:numPr>
              <w:rPr>
                <w:rFonts w:cs="Arial"/>
                <w:sz w:val="20"/>
                <w:szCs w:val="20"/>
              </w:rPr>
            </w:pPr>
            <w:r w:rsidRPr="00CF23F2">
              <w:rPr>
                <w:rFonts w:cs="Arial"/>
                <w:sz w:val="20"/>
                <w:szCs w:val="20"/>
              </w:rPr>
              <w:t>introduces subjectivity, limits objective performance evaluation</w:t>
            </w:r>
          </w:p>
          <w:p w14:paraId="63FFCBCA" w14:textId="77777777" w:rsidR="008962CE" w:rsidRPr="00CF23F2" w:rsidRDefault="008962CE" w:rsidP="00614AF5">
            <w:pPr>
              <w:pStyle w:val="ListParagraph"/>
              <w:numPr>
                <w:ilvl w:val="1"/>
                <w:numId w:val="28"/>
              </w:numPr>
              <w:rPr>
                <w:rFonts w:cs="Arial"/>
                <w:sz w:val="20"/>
                <w:szCs w:val="20"/>
              </w:rPr>
            </w:pPr>
            <w:r w:rsidRPr="00CF23F2">
              <w:rPr>
                <w:rFonts w:cs="Arial"/>
                <w:sz w:val="20"/>
                <w:szCs w:val="20"/>
              </w:rPr>
              <w:t xml:space="preserve">may increase inspection time/ expense </w:t>
            </w:r>
          </w:p>
          <w:p w14:paraId="6739FF43" w14:textId="77777777" w:rsidR="008962CE" w:rsidRPr="00DC36FA" w:rsidRDefault="008962CE" w:rsidP="00614AF5">
            <w:pPr>
              <w:pStyle w:val="ListParagraph"/>
              <w:numPr>
                <w:ilvl w:val="0"/>
                <w:numId w:val="28"/>
              </w:numPr>
              <w:rPr>
                <w:rFonts w:cs="Arial"/>
                <w:sz w:val="20"/>
                <w:szCs w:val="20"/>
              </w:rPr>
            </w:pPr>
            <w:r w:rsidRPr="00CF23F2">
              <w:rPr>
                <w:rFonts w:cs="Arial"/>
                <w:sz w:val="20"/>
                <w:szCs w:val="20"/>
              </w:rPr>
              <w:t>may result in businesses simply ‘saying the right things’ to satisfy EHO</w:t>
            </w:r>
            <w:r>
              <w:rPr>
                <w:rFonts w:cs="Arial"/>
                <w:sz w:val="20"/>
                <w:szCs w:val="20"/>
              </w:rPr>
              <w:t>s</w:t>
            </w:r>
            <w:r w:rsidRPr="00CF23F2">
              <w:rPr>
                <w:rFonts w:cs="Arial"/>
                <w:sz w:val="20"/>
                <w:szCs w:val="20"/>
              </w:rPr>
              <w:t xml:space="preserve">, without </w:t>
            </w:r>
            <w:r>
              <w:rPr>
                <w:rFonts w:cs="Arial"/>
                <w:sz w:val="20"/>
                <w:szCs w:val="20"/>
              </w:rPr>
              <w:t>actually doing things correctly.</w:t>
            </w:r>
          </w:p>
        </w:tc>
        <w:tc>
          <w:tcPr>
            <w:tcW w:w="1480" w:type="dxa"/>
          </w:tcPr>
          <w:p w14:paraId="3702A959"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7C278668" w14:textId="53EBDF7F" w:rsidR="008962CE" w:rsidRPr="00CF23F2" w:rsidRDefault="008962CE" w:rsidP="003A458A">
            <w:pPr>
              <w:rPr>
                <w:rFonts w:cs="Arial"/>
                <w:sz w:val="20"/>
                <w:szCs w:val="20"/>
              </w:rPr>
            </w:pPr>
            <w:r>
              <w:rPr>
                <w:rFonts w:cs="Arial"/>
                <w:sz w:val="20"/>
                <w:szCs w:val="20"/>
              </w:rPr>
              <w:t xml:space="preserve">FSANZ acknowledges these challenges. </w:t>
            </w:r>
            <w:r w:rsidR="007A40CB" w:rsidRPr="58A14E8B">
              <w:rPr>
                <w:rFonts w:cs="Arial"/>
                <w:sz w:val="20"/>
                <w:szCs w:val="20"/>
              </w:rPr>
              <w:t xml:space="preserve">Jurisdictions are responsible for implementation. </w:t>
            </w:r>
            <w:r w:rsidR="007A40CB">
              <w:rPr>
                <w:rFonts w:cs="Arial"/>
                <w:sz w:val="20"/>
                <w:szCs w:val="20"/>
              </w:rPr>
              <w:t>T</w:t>
            </w:r>
            <w:r w:rsidR="007A40CB" w:rsidRPr="58A14E8B">
              <w:rPr>
                <w:rFonts w:cs="Arial"/>
                <w:sz w:val="20"/>
                <w:szCs w:val="20"/>
              </w:rPr>
              <w:t>hese comments will be forwarded to the IWG</w:t>
            </w:r>
            <w:r w:rsidR="007A40CB" w:rsidRPr="00E312A7" w:rsidDel="00C64BA1">
              <w:rPr>
                <w:rFonts w:cs="Arial"/>
                <w:sz w:val="20"/>
                <w:szCs w:val="20"/>
              </w:rPr>
              <w:t xml:space="preserve"> </w:t>
            </w:r>
            <w:r w:rsidR="007A40CB">
              <w:rPr>
                <w:rFonts w:cs="Arial"/>
                <w:sz w:val="20"/>
                <w:szCs w:val="20"/>
              </w:rPr>
              <w:t>to consider implementation and support.</w:t>
            </w:r>
          </w:p>
        </w:tc>
      </w:tr>
      <w:tr w:rsidR="008962CE" w:rsidRPr="00CF23F2" w14:paraId="3C103260" w14:textId="77777777" w:rsidTr="00FD5F2E">
        <w:tc>
          <w:tcPr>
            <w:tcW w:w="6458" w:type="dxa"/>
            <w:gridSpan w:val="2"/>
          </w:tcPr>
          <w:p w14:paraId="55AEAC09" w14:textId="77777777" w:rsidR="008962CE" w:rsidRPr="00CF23F2" w:rsidRDefault="008962CE" w:rsidP="003A458A">
            <w:pPr>
              <w:rPr>
                <w:rFonts w:cs="Arial"/>
                <w:sz w:val="20"/>
                <w:szCs w:val="20"/>
              </w:rPr>
            </w:pPr>
            <w:r w:rsidRPr="00CF23F2">
              <w:rPr>
                <w:rFonts w:cs="Arial"/>
                <w:sz w:val="20"/>
                <w:szCs w:val="20"/>
              </w:rPr>
              <w:t>Clearly define areas where food safety evidence in the domestic aged care dining environment may differ from other commercial food service environments</w:t>
            </w:r>
            <w:r>
              <w:rPr>
                <w:rFonts w:cs="Arial"/>
                <w:sz w:val="20"/>
                <w:szCs w:val="20"/>
              </w:rPr>
              <w:t>.</w:t>
            </w:r>
          </w:p>
        </w:tc>
        <w:tc>
          <w:tcPr>
            <w:tcW w:w="1480" w:type="dxa"/>
          </w:tcPr>
          <w:p w14:paraId="290AAD63" w14:textId="77777777" w:rsidR="008962CE" w:rsidRPr="00CF23F2" w:rsidRDefault="008962CE" w:rsidP="003A458A">
            <w:pPr>
              <w:rPr>
                <w:rFonts w:cs="Arial"/>
                <w:sz w:val="20"/>
                <w:szCs w:val="20"/>
              </w:rPr>
            </w:pPr>
            <w:r w:rsidRPr="00CF23F2">
              <w:rPr>
                <w:rFonts w:cs="Arial"/>
                <w:sz w:val="20"/>
                <w:szCs w:val="20"/>
              </w:rPr>
              <w:t>advocacy group</w:t>
            </w:r>
          </w:p>
        </w:tc>
        <w:tc>
          <w:tcPr>
            <w:tcW w:w="6799" w:type="dxa"/>
          </w:tcPr>
          <w:p w14:paraId="19AA79D2" w14:textId="279FE15F" w:rsidR="008962CE" w:rsidRPr="00CF23F2" w:rsidRDefault="008962CE" w:rsidP="003A458A">
            <w:pPr>
              <w:rPr>
                <w:rFonts w:cs="Arial"/>
                <w:sz w:val="20"/>
                <w:szCs w:val="20"/>
              </w:rPr>
            </w:pPr>
            <w:r w:rsidRPr="00E312A7">
              <w:rPr>
                <w:rFonts w:cs="Arial"/>
                <w:sz w:val="20"/>
                <w:szCs w:val="20"/>
              </w:rPr>
              <w:t xml:space="preserve">Jurisdictions are responsible for implementation. </w:t>
            </w:r>
            <w:r w:rsidR="007A40CB">
              <w:rPr>
                <w:rFonts w:cs="Arial"/>
                <w:sz w:val="20"/>
                <w:szCs w:val="20"/>
              </w:rPr>
              <w:t>T</w:t>
            </w:r>
            <w:r w:rsidR="007A40CB" w:rsidRPr="58A14E8B">
              <w:rPr>
                <w:rFonts w:cs="Arial"/>
                <w:sz w:val="20"/>
                <w:szCs w:val="20"/>
              </w:rPr>
              <w:t>hese comments will be forwarded to the IWG</w:t>
            </w:r>
            <w:r w:rsidR="007A40CB" w:rsidRPr="00E312A7" w:rsidDel="00C64BA1">
              <w:rPr>
                <w:rFonts w:cs="Arial"/>
                <w:sz w:val="20"/>
                <w:szCs w:val="20"/>
              </w:rPr>
              <w:t xml:space="preserve"> </w:t>
            </w:r>
            <w:r w:rsidR="007A40CB">
              <w:rPr>
                <w:rFonts w:cs="Arial"/>
                <w:sz w:val="20"/>
                <w:szCs w:val="20"/>
              </w:rPr>
              <w:t>to consider implementation and support.</w:t>
            </w:r>
            <w:r>
              <w:rPr>
                <w:rFonts w:cs="Arial"/>
                <w:sz w:val="20"/>
                <w:szCs w:val="20"/>
              </w:rPr>
              <w:t>.</w:t>
            </w:r>
          </w:p>
        </w:tc>
      </w:tr>
      <w:tr w:rsidR="008962CE" w:rsidRPr="00CF23F2" w14:paraId="1FA36841" w14:textId="77777777" w:rsidTr="00FD5F2E">
        <w:tc>
          <w:tcPr>
            <w:tcW w:w="6458" w:type="dxa"/>
            <w:gridSpan w:val="2"/>
          </w:tcPr>
          <w:p w14:paraId="5469527C" w14:textId="77777777" w:rsidR="008962CE" w:rsidRPr="002D63DB" w:rsidRDefault="008962CE" w:rsidP="003A458A">
            <w:pPr>
              <w:rPr>
                <w:rFonts w:cs="Arial"/>
                <w:b/>
                <w:bCs/>
                <w:sz w:val="20"/>
                <w:szCs w:val="20"/>
              </w:rPr>
            </w:pPr>
            <w:r w:rsidRPr="58A14E8B">
              <w:rPr>
                <w:rFonts w:cs="Arial"/>
                <w:b/>
                <w:bCs/>
                <w:sz w:val="20"/>
                <w:szCs w:val="20"/>
              </w:rPr>
              <w:t xml:space="preserve">Time frame – </w:t>
            </w:r>
            <w:r w:rsidRPr="58A14E8B">
              <w:rPr>
                <w:rFonts w:cs="Arial"/>
                <w:sz w:val="20"/>
                <w:szCs w:val="20"/>
              </w:rPr>
              <w:t>comments were diverse</w:t>
            </w:r>
          </w:p>
          <w:p w14:paraId="678E2F11" w14:textId="77777777" w:rsidR="008962CE" w:rsidRPr="002D63DB" w:rsidRDefault="008962CE" w:rsidP="00614AF5">
            <w:pPr>
              <w:pStyle w:val="ListParagraph"/>
              <w:numPr>
                <w:ilvl w:val="0"/>
                <w:numId w:val="29"/>
              </w:numPr>
              <w:rPr>
                <w:rFonts w:cs="Arial"/>
                <w:sz w:val="20"/>
                <w:szCs w:val="20"/>
              </w:rPr>
            </w:pPr>
            <w:r w:rsidRPr="58A14E8B">
              <w:rPr>
                <w:rFonts w:cs="Arial"/>
                <w:sz w:val="20"/>
                <w:szCs w:val="20"/>
              </w:rPr>
              <w:t xml:space="preserve">Requiring evidence to be kept for 3 months is too short a timeframe. Where food safety program records must be kept for at least 2 years, an inspector can review records completed since the last inspection. </w:t>
            </w:r>
          </w:p>
          <w:p w14:paraId="54B09F14" w14:textId="77777777" w:rsidR="008962CE" w:rsidRPr="002D63DB" w:rsidRDefault="008962CE" w:rsidP="00614AF5">
            <w:pPr>
              <w:pStyle w:val="ListParagraph"/>
              <w:numPr>
                <w:ilvl w:val="0"/>
                <w:numId w:val="29"/>
              </w:numPr>
              <w:rPr>
                <w:rFonts w:cs="Arial"/>
                <w:sz w:val="20"/>
                <w:szCs w:val="20"/>
              </w:rPr>
            </w:pPr>
            <w:r w:rsidRPr="58A14E8B">
              <w:rPr>
                <w:rFonts w:cs="Arial"/>
                <w:sz w:val="20"/>
                <w:szCs w:val="20"/>
              </w:rPr>
              <w:t>Requiring records be kept for 3 months is supported.</w:t>
            </w:r>
          </w:p>
        </w:tc>
        <w:tc>
          <w:tcPr>
            <w:tcW w:w="1480" w:type="dxa"/>
          </w:tcPr>
          <w:p w14:paraId="16D39E6E" w14:textId="77777777" w:rsidR="008962CE" w:rsidRPr="00CF23F2" w:rsidRDefault="008962CE" w:rsidP="003A458A">
            <w:pPr>
              <w:rPr>
                <w:rFonts w:cs="Arial"/>
                <w:sz w:val="20"/>
                <w:szCs w:val="20"/>
              </w:rPr>
            </w:pPr>
            <w:r w:rsidRPr="00CF23F2">
              <w:rPr>
                <w:rFonts w:cs="Arial"/>
                <w:sz w:val="20"/>
                <w:szCs w:val="20"/>
              </w:rPr>
              <w:t>local council</w:t>
            </w:r>
          </w:p>
        </w:tc>
        <w:tc>
          <w:tcPr>
            <w:tcW w:w="6799" w:type="dxa"/>
          </w:tcPr>
          <w:p w14:paraId="4F71A579" w14:textId="59851D66" w:rsidR="008962CE" w:rsidRDefault="008962CE" w:rsidP="003A458A">
            <w:pPr>
              <w:rPr>
                <w:rFonts w:cs="Arial"/>
                <w:sz w:val="20"/>
                <w:szCs w:val="20"/>
              </w:rPr>
            </w:pPr>
            <w:r>
              <w:rPr>
                <w:rFonts w:cs="Arial"/>
                <w:sz w:val="20"/>
                <w:szCs w:val="20"/>
              </w:rPr>
              <w:t xml:space="preserve">As outlined in the DRIS, the purpose of the E requirement in Standard 3.2.2A is to enhance a business’s real-time food safety management of their food handling processes. It facilitates a </w:t>
            </w:r>
            <w:r w:rsidR="008C3E07">
              <w:rPr>
                <w:rFonts w:cs="Arial"/>
                <w:sz w:val="20"/>
                <w:szCs w:val="20"/>
              </w:rPr>
              <w:t>business’s</w:t>
            </w:r>
            <w:r>
              <w:rPr>
                <w:rFonts w:cs="Arial"/>
                <w:sz w:val="20"/>
                <w:szCs w:val="20"/>
              </w:rPr>
              <w:t xml:space="preserve"> </w:t>
            </w:r>
            <w:r w:rsidR="008C3E07">
              <w:rPr>
                <w:rFonts w:cs="Arial"/>
                <w:sz w:val="20"/>
                <w:szCs w:val="20"/>
              </w:rPr>
              <w:t xml:space="preserve">ability </w:t>
            </w:r>
            <w:r>
              <w:rPr>
                <w:rFonts w:cs="Arial"/>
                <w:sz w:val="20"/>
                <w:szCs w:val="20"/>
              </w:rPr>
              <w:t xml:space="preserve">to quickly identify instances where critical controls are not maintained, to ensure corrective actions are implemented. </w:t>
            </w:r>
          </w:p>
          <w:p w14:paraId="55E5DFAF" w14:textId="77777777" w:rsidR="008962CE" w:rsidRDefault="008962CE" w:rsidP="003A458A">
            <w:pPr>
              <w:rPr>
                <w:rFonts w:cs="Arial"/>
                <w:sz w:val="20"/>
                <w:szCs w:val="20"/>
              </w:rPr>
            </w:pPr>
          </w:p>
          <w:p w14:paraId="4D3FB22E" w14:textId="70E47022" w:rsidR="008962CE" w:rsidRPr="00CF23F2" w:rsidRDefault="008962CE" w:rsidP="003A458A">
            <w:pPr>
              <w:rPr>
                <w:rFonts w:cs="Arial"/>
                <w:sz w:val="20"/>
                <w:szCs w:val="20"/>
              </w:rPr>
            </w:pPr>
            <w:r>
              <w:rPr>
                <w:rFonts w:cs="Arial"/>
                <w:sz w:val="20"/>
                <w:szCs w:val="20"/>
              </w:rPr>
              <w:t xml:space="preserve">FSANZ assessment is that records should be maintained for a period of at least 3 months. This is based on the incubation period of foodborne illness pathogen – </w:t>
            </w:r>
            <w:r w:rsidRPr="00B12B61">
              <w:rPr>
                <w:rFonts w:cs="Arial"/>
                <w:i/>
                <w:sz w:val="20"/>
                <w:szCs w:val="20"/>
              </w:rPr>
              <w:t>listeria</w:t>
            </w:r>
            <w:r>
              <w:rPr>
                <w:rFonts w:cs="Arial"/>
                <w:sz w:val="20"/>
                <w:szCs w:val="20"/>
              </w:rPr>
              <w:t>. It enables a business or EHO to review food safety management during</w:t>
            </w:r>
            <w:r w:rsidR="00B61BE2">
              <w:rPr>
                <w:rFonts w:cs="Arial"/>
                <w:sz w:val="20"/>
                <w:szCs w:val="20"/>
              </w:rPr>
              <w:t xml:space="preserve"> a foodborne illness incident. </w:t>
            </w:r>
          </w:p>
        </w:tc>
      </w:tr>
      <w:tr w:rsidR="008962CE" w:rsidRPr="00CF23F2" w14:paraId="645BE79F" w14:textId="77777777" w:rsidTr="00FD5F2E">
        <w:tc>
          <w:tcPr>
            <w:tcW w:w="6458" w:type="dxa"/>
            <w:gridSpan w:val="2"/>
          </w:tcPr>
          <w:p w14:paraId="48A8CD66" w14:textId="77777777" w:rsidR="008962CE" w:rsidRPr="00CF23F2" w:rsidRDefault="008962CE" w:rsidP="003A458A">
            <w:pPr>
              <w:rPr>
                <w:rFonts w:cs="Arial"/>
                <w:sz w:val="20"/>
                <w:szCs w:val="20"/>
              </w:rPr>
            </w:pPr>
            <w:r w:rsidRPr="00CF23F2">
              <w:rPr>
                <w:rFonts w:cs="Arial"/>
                <w:sz w:val="20"/>
                <w:szCs w:val="20"/>
              </w:rPr>
              <w:t xml:space="preserve">Consider phased approach to E requirement, starting with larger businesses (&gt;5 FTE food handlers) or with a smaller number of record </w:t>
            </w:r>
            <w:r w:rsidRPr="00CF23F2">
              <w:rPr>
                <w:rFonts w:cs="Arial"/>
                <w:sz w:val="20"/>
                <w:szCs w:val="20"/>
              </w:rPr>
              <w:lastRenderedPageBreak/>
              <w:t>requirements first</w:t>
            </w:r>
            <w:r>
              <w:rPr>
                <w:rFonts w:cs="Arial"/>
                <w:sz w:val="20"/>
                <w:szCs w:val="20"/>
              </w:rPr>
              <w:t>.</w:t>
            </w:r>
          </w:p>
        </w:tc>
        <w:tc>
          <w:tcPr>
            <w:tcW w:w="1480" w:type="dxa"/>
          </w:tcPr>
          <w:p w14:paraId="0EDC9048" w14:textId="77777777" w:rsidR="008962CE" w:rsidRPr="00CF23F2" w:rsidRDefault="008962CE" w:rsidP="003A458A">
            <w:pPr>
              <w:rPr>
                <w:rFonts w:cs="Arial"/>
                <w:sz w:val="20"/>
                <w:szCs w:val="20"/>
              </w:rPr>
            </w:pPr>
            <w:r w:rsidRPr="00CF23F2">
              <w:rPr>
                <w:rFonts w:cs="Arial"/>
                <w:sz w:val="20"/>
                <w:szCs w:val="20"/>
              </w:rPr>
              <w:lastRenderedPageBreak/>
              <w:t>local council</w:t>
            </w:r>
          </w:p>
        </w:tc>
        <w:tc>
          <w:tcPr>
            <w:tcW w:w="6799" w:type="dxa"/>
          </w:tcPr>
          <w:p w14:paraId="3E97E5E9" w14:textId="38C48844" w:rsidR="008962CE" w:rsidRPr="00CF23F2" w:rsidRDefault="008962CE" w:rsidP="003A458A">
            <w:pPr>
              <w:rPr>
                <w:rFonts w:cs="Arial"/>
                <w:sz w:val="20"/>
                <w:szCs w:val="20"/>
              </w:rPr>
            </w:pPr>
            <w:r w:rsidRPr="00E312A7">
              <w:rPr>
                <w:rFonts w:cs="Arial"/>
                <w:sz w:val="20"/>
                <w:szCs w:val="20"/>
              </w:rPr>
              <w:t xml:space="preserve">Jurisdictions are responsible for implementation. </w:t>
            </w:r>
            <w:r w:rsidR="007A40CB">
              <w:rPr>
                <w:rFonts w:cs="Arial"/>
                <w:sz w:val="20"/>
                <w:szCs w:val="20"/>
              </w:rPr>
              <w:t>T</w:t>
            </w:r>
            <w:r w:rsidR="007A40CB" w:rsidRPr="58A14E8B">
              <w:rPr>
                <w:rFonts w:cs="Arial"/>
                <w:sz w:val="20"/>
                <w:szCs w:val="20"/>
              </w:rPr>
              <w:t>hese comments will be forwarded to the IWG</w:t>
            </w:r>
            <w:r w:rsidR="007A40CB" w:rsidRPr="00E312A7" w:rsidDel="00C64BA1">
              <w:rPr>
                <w:rFonts w:cs="Arial"/>
                <w:sz w:val="20"/>
                <w:szCs w:val="20"/>
              </w:rPr>
              <w:t xml:space="preserve"> </w:t>
            </w:r>
            <w:r w:rsidR="007A40CB">
              <w:rPr>
                <w:rFonts w:cs="Arial"/>
                <w:sz w:val="20"/>
                <w:szCs w:val="20"/>
              </w:rPr>
              <w:t>to consider implementation and support.</w:t>
            </w:r>
          </w:p>
        </w:tc>
      </w:tr>
      <w:tr w:rsidR="00B61BE2" w:rsidRPr="00CF23F2" w14:paraId="2CE8EAA8" w14:textId="77777777" w:rsidTr="00FD5F2E">
        <w:tc>
          <w:tcPr>
            <w:tcW w:w="7938" w:type="dxa"/>
            <w:gridSpan w:val="3"/>
            <w:shd w:val="clear" w:color="auto" w:fill="E5DFEC" w:themeFill="accent4" w:themeFillTint="33"/>
          </w:tcPr>
          <w:p w14:paraId="7246D616" w14:textId="37C8518F" w:rsidR="00B61BE2" w:rsidRPr="58A14E8B" w:rsidRDefault="00B61BE2" w:rsidP="00280892">
            <w:pPr>
              <w:rPr>
                <w:rFonts w:cs="Arial"/>
                <w:sz w:val="20"/>
                <w:szCs w:val="20"/>
              </w:rPr>
            </w:pPr>
            <w:r w:rsidRPr="005E54AD">
              <w:rPr>
                <w:rFonts w:cs="Arial"/>
                <w:b/>
                <w:sz w:val="20"/>
                <w:szCs w:val="20"/>
              </w:rPr>
              <w:t>Non-regulatory tools/guidance</w:t>
            </w:r>
          </w:p>
          <w:p w14:paraId="22900028" w14:textId="77777777" w:rsidR="00B61BE2" w:rsidRPr="58A14E8B" w:rsidRDefault="00B61BE2" w:rsidP="00280892">
            <w:pPr>
              <w:rPr>
                <w:rFonts w:cs="Arial"/>
                <w:sz w:val="20"/>
                <w:szCs w:val="20"/>
              </w:rPr>
            </w:pPr>
          </w:p>
        </w:tc>
        <w:tc>
          <w:tcPr>
            <w:tcW w:w="6799" w:type="dxa"/>
            <w:shd w:val="clear" w:color="auto" w:fill="E5DFEC" w:themeFill="accent4" w:themeFillTint="33"/>
          </w:tcPr>
          <w:p w14:paraId="0962C33F" w14:textId="77777777" w:rsidR="00B61BE2" w:rsidRDefault="00B61BE2" w:rsidP="00280892">
            <w:pPr>
              <w:rPr>
                <w:rFonts w:cs="Arial"/>
                <w:sz w:val="20"/>
                <w:szCs w:val="20"/>
              </w:rPr>
            </w:pPr>
          </w:p>
        </w:tc>
      </w:tr>
      <w:tr w:rsidR="00B61BE2" w:rsidRPr="00CF23F2" w14:paraId="3EDCAACF" w14:textId="77777777" w:rsidTr="00FD5F2E">
        <w:tc>
          <w:tcPr>
            <w:tcW w:w="6357" w:type="dxa"/>
          </w:tcPr>
          <w:p w14:paraId="7E7EED4B" w14:textId="77777777" w:rsidR="00B61BE2" w:rsidRPr="00B61BE2" w:rsidRDefault="00B61BE2" w:rsidP="00614AF5">
            <w:pPr>
              <w:pStyle w:val="ListParagraph"/>
              <w:numPr>
                <w:ilvl w:val="0"/>
                <w:numId w:val="30"/>
              </w:numPr>
              <w:ind w:left="360"/>
              <w:rPr>
                <w:rFonts w:cs="Arial"/>
                <w:sz w:val="20"/>
                <w:szCs w:val="20"/>
              </w:rPr>
            </w:pPr>
            <w:r w:rsidRPr="00B61BE2">
              <w:rPr>
                <w:rFonts w:cs="Arial"/>
                <w:sz w:val="20"/>
                <w:szCs w:val="20"/>
              </w:rPr>
              <w:t xml:space="preserve">Supportive of nationally available/ centralised/ consistent tools to provide comprehensive education and support products. These need to be available before commencement date. </w:t>
            </w:r>
          </w:p>
          <w:p w14:paraId="66625446" w14:textId="77777777" w:rsidR="00B61BE2" w:rsidRPr="00CF23F2" w:rsidRDefault="00B61BE2" w:rsidP="00B61BE2">
            <w:pPr>
              <w:rPr>
                <w:rFonts w:cs="Arial"/>
                <w:sz w:val="20"/>
                <w:szCs w:val="20"/>
              </w:rPr>
            </w:pPr>
          </w:p>
          <w:p w14:paraId="6547EF59" w14:textId="77777777" w:rsidR="00B61BE2" w:rsidRPr="00B61BE2" w:rsidRDefault="00B61BE2" w:rsidP="00614AF5">
            <w:pPr>
              <w:pStyle w:val="ListParagraph"/>
              <w:numPr>
                <w:ilvl w:val="0"/>
                <w:numId w:val="30"/>
              </w:numPr>
              <w:ind w:left="360"/>
              <w:rPr>
                <w:rFonts w:cs="Arial"/>
                <w:sz w:val="20"/>
                <w:szCs w:val="20"/>
              </w:rPr>
            </w:pPr>
            <w:r w:rsidRPr="00B61BE2">
              <w:rPr>
                <w:rFonts w:cs="Arial"/>
                <w:sz w:val="20"/>
                <w:szCs w:val="20"/>
              </w:rPr>
              <w:t>Implementation guidance should be incorporated into Safe Food Australia guidebook</w:t>
            </w:r>
          </w:p>
        </w:tc>
        <w:tc>
          <w:tcPr>
            <w:tcW w:w="1581" w:type="dxa"/>
            <w:gridSpan w:val="2"/>
          </w:tcPr>
          <w:p w14:paraId="13B61515" w14:textId="77777777" w:rsidR="00B61BE2" w:rsidRPr="00CF23F2" w:rsidRDefault="00B61BE2" w:rsidP="00280892">
            <w:pPr>
              <w:rPr>
                <w:rFonts w:cs="Arial"/>
                <w:sz w:val="20"/>
                <w:szCs w:val="20"/>
              </w:rPr>
            </w:pPr>
            <w:r w:rsidRPr="58A14E8B">
              <w:rPr>
                <w:rFonts w:cs="Arial"/>
                <w:sz w:val="20"/>
                <w:szCs w:val="20"/>
              </w:rPr>
              <w:t>state/territory government, local council, service provider</w:t>
            </w:r>
          </w:p>
          <w:p w14:paraId="4B5381BF" w14:textId="77777777" w:rsidR="00B61BE2" w:rsidRPr="00CF23F2" w:rsidRDefault="00B61BE2" w:rsidP="00280892">
            <w:pPr>
              <w:rPr>
                <w:rFonts w:cs="Arial"/>
                <w:sz w:val="20"/>
                <w:szCs w:val="20"/>
              </w:rPr>
            </w:pPr>
          </w:p>
        </w:tc>
        <w:tc>
          <w:tcPr>
            <w:tcW w:w="6799" w:type="dxa"/>
            <w:vMerge w:val="restart"/>
          </w:tcPr>
          <w:p w14:paraId="5DA5624A" w14:textId="568A1422" w:rsidR="00B61BE2" w:rsidRPr="00B61BE2" w:rsidRDefault="00B61BE2" w:rsidP="00280892">
            <w:pPr>
              <w:rPr>
                <w:rFonts w:cs="Arial"/>
                <w:sz w:val="20"/>
                <w:szCs w:val="20"/>
              </w:rPr>
            </w:pPr>
            <w:r w:rsidRPr="00B61BE2">
              <w:rPr>
                <w:rFonts w:cs="Arial"/>
                <w:sz w:val="20"/>
                <w:szCs w:val="20"/>
              </w:rPr>
              <w:t xml:space="preserve">This is a summary of comments from submitters that relate only to guidance that will be developed </w:t>
            </w:r>
            <w:r>
              <w:rPr>
                <w:rFonts w:cs="Arial"/>
                <w:sz w:val="20"/>
                <w:szCs w:val="20"/>
              </w:rPr>
              <w:t>to support the Standard implementation</w:t>
            </w:r>
            <w:r w:rsidRPr="00B61BE2">
              <w:rPr>
                <w:rFonts w:cs="Arial"/>
                <w:sz w:val="20"/>
                <w:szCs w:val="20"/>
              </w:rPr>
              <w:t>. These comments will be referred to the IWG</w:t>
            </w:r>
            <w:r w:rsidRPr="00B61BE2" w:rsidDel="00C64BA1">
              <w:rPr>
                <w:rFonts w:cs="Arial"/>
                <w:sz w:val="20"/>
                <w:szCs w:val="20"/>
              </w:rPr>
              <w:t xml:space="preserve"> </w:t>
            </w:r>
            <w:r w:rsidRPr="00B61BE2">
              <w:rPr>
                <w:rFonts w:cs="Arial"/>
                <w:sz w:val="20"/>
                <w:szCs w:val="20"/>
              </w:rPr>
              <w:t>to consider.</w:t>
            </w:r>
          </w:p>
          <w:p w14:paraId="0E7B8425" w14:textId="6D3F114C" w:rsidR="00B61BE2" w:rsidRPr="58A14E8B" w:rsidRDefault="00B61BE2" w:rsidP="00280892">
            <w:pPr>
              <w:rPr>
                <w:rFonts w:cs="Arial"/>
                <w:sz w:val="20"/>
                <w:szCs w:val="20"/>
              </w:rPr>
            </w:pPr>
          </w:p>
          <w:p w14:paraId="33892548" w14:textId="069D8F57" w:rsidR="00B61BE2" w:rsidRPr="00CF23F2" w:rsidRDefault="00B61BE2" w:rsidP="00280892">
            <w:pPr>
              <w:rPr>
                <w:rFonts w:cs="Arial"/>
                <w:sz w:val="20"/>
                <w:szCs w:val="20"/>
              </w:rPr>
            </w:pPr>
          </w:p>
          <w:p w14:paraId="2F680A95" w14:textId="2A2FCB78" w:rsidR="00B61BE2" w:rsidRPr="00CF23F2" w:rsidRDefault="00B61BE2" w:rsidP="00280892">
            <w:pPr>
              <w:rPr>
                <w:rFonts w:cs="Arial"/>
                <w:sz w:val="20"/>
                <w:szCs w:val="20"/>
              </w:rPr>
            </w:pPr>
          </w:p>
          <w:p w14:paraId="456ABE49" w14:textId="5A41D25B" w:rsidR="00B61BE2" w:rsidRPr="58A14E8B" w:rsidRDefault="00B61BE2" w:rsidP="00280892">
            <w:pPr>
              <w:rPr>
                <w:rFonts w:cs="Arial"/>
                <w:sz w:val="20"/>
                <w:szCs w:val="20"/>
              </w:rPr>
            </w:pPr>
          </w:p>
          <w:p w14:paraId="2B12CD4A" w14:textId="4A19C906" w:rsidR="00B61BE2" w:rsidRPr="58A14E8B" w:rsidRDefault="00B61BE2" w:rsidP="00280892">
            <w:pPr>
              <w:rPr>
                <w:rFonts w:cs="Arial"/>
                <w:sz w:val="20"/>
                <w:szCs w:val="20"/>
              </w:rPr>
            </w:pPr>
          </w:p>
          <w:p w14:paraId="0B5A5066" w14:textId="133096E7" w:rsidR="00B61BE2" w:rsidRPr="00CF23F2" w:rsidRDefault="00B61BE2" w:rsidP="00280892">
            <w:pPr>
              <w:rPr>
                <w:rFonts w:cs="Arial"/>
                <w:sz w:val="20"/>
                <w:szCs w:val="20"/>
              </w:rPr>
            </w:pPr>
          </w:p>
          <w:p w14:paraId="2CB88BEC" w14:textId="278778C3" w:rsidR="00B61BE2" w:rsidRPr="58A14E8B" w:rsidRDefault="00B61BE2" w:rsidP="00280892">
            <w:pPr>
              <w:rPr>
                <w:rFonts w:cs="Arial"/>
                <w:sz w:val="20"/>
                <w:szCs w:val="20"/>
              </w:rPr>
            </w:pPr>
          </w:p>
        </w:tc>
      </w:tr>
      <w:tr w:rsidR="00B61BE2" w:rsidRPr="00CF23F2" w14:paraId="13366CC8" w14:textId="77777777" w:rsidTr="00FD5F2E">
        <w:tc>
          <w:tcPr>
            <w:tcW w:w="6357" w:type="dxa"/>
          </w:tcPr>
          <w:p w14:paraId="3291AB61" w14:textId="77777777" w:rsidR="00B61BE2" w:rsidRPr="00CF23F2" w:rsidRDefault="00B61BE2" w:rsidP="00280892">
            <w:pPr>
              <w:rPr>
                <w:rFonts w:cs="Arial"/>
                <w:sz w:val="20"/>
                <w:szCs w:val="20"/>
              </w:rPr>
            </w:pPr>
            <w:r w:rsidRPr="00CF23F2">
              <w:rPr>
                <w:rFonts w:cs="Arial"/>
                <w:sz w:val="20"/>
                <w:szCs w:val="20"/>
              </w:rPr>
              <w:t>An education and awareness campaign/support will be needed for businesses and authorised officers, to ensure consistency and ease of implementation; and options for rural/remote (no internet), CALD (translations), low literacy, SME businesses</w:t>
            </w:r>
            <w:r>
              <w:rPr>
                <w:rFonts w:cs="Arial"/>
                <w:sz w:val="20"/>
                <w:szCs w:val="20"/>
              </w:rPr>
              <w:t>.</w:t>
            </w:r>
          </w:p>
        </w:tc>
        <w:tc>
          <w:tcPr>
            <w:tcW w:w="1581" w:type="dxa"/>
            <w:gridSpan w:val="2"/>
          </w:tcPr>
          <w:p w14:paraId="19687C76" w14:textId="77777777" w:rsidR="00B61BE2" w:rsidRPr="00CF23F2" w:rsidRDefault="00B61BE2" w:rsidP="00280892">
            <w:pPr>
              <w:rPr>
                <w:rFonts w:cs="Arial"/>
                <w:sz w:val="20"/>
                <w:szCs w:val="20"/>
              </w:rPr>
            </w:pPr>
            <w:r w:rsidRPr="00CF23F2">
              <w:rPr>
                <w:rFonts w:cs="Arial"/>
                <w:sz w:val="20"/>
                <w:szCs w:val="20"/>
              </w:rPr>
              <w:t>industry association, state/territory government, local council</w:t>
            </w:r>
          </w:p>
        </w:tc>
        <w:tc>
          <w:tcPr>
            <w:tcW w:w="6799" w:type="dxa"/>
            <w:vMerge/>
          </w:tcPr>
          <w:p w14:paraId="587B74A3" w14:textId="7CD883CF" w:rsidR="00B61BE2" w:rsidRPr="00CF23F2" w:rsidRDefault="00B61BE2" w:rsidP="00280892">
            <w:pPr>
              <w:rPr>
                <w:rFonts w:cs="Arial"/>
                <w:sz w:val="20"/>
                <w:szCs w:val="20"/>
              </w:rPr>
            </w:pPr>
          </w:p>
        </w:tc>
      </w:tr>
      <w:tr w:rsidR="00B61BE2" w:rsidRPr="00CF23F2" w14:paraId="700F5BD0" w14:textId="77777777" w:rsidTr="00FD5F2E">
        <w:tc>
          <w:tcPr>
            <w:tcW w:w="6357" w:type="dxa"/>
          </w:tcPr>
          <w:p w14:paraId="29F7E6C9" w14:textId="77777777" w:rsidR="00B61BE2" w:rsidRPr="00CF23F2" w:rsidRDefault="00B61BE2" w:rsidP="00280892">
            <w:pPr>
              <w:rPr>
                <w:rFonts w:cs="Arial"/>
                <w:sz w:val="20"/>
                <w:szCs w:val="20"/>
              </w:rPr>
            </w:pPr>
            <w:r w:rsidRPr="00006D3E">
              <w:rPr>
                <w:rFonts w:cs="Arial"/>
                <w:b/>
                <w:sz w:val="20"/>
                <w:szCs w:val="20"/>
              </w:rPr>
              <w:t>G</w:t>
            </w:r>
            <w:r>
              <w:rPr>
                <w:rFonts w:cs="Arial"/>
                <w:b/>
                <w:sz w:val="20"/>
                <w:szCs w:val="20"/>
              </w:rPr>
              <w:t>eneral g</w:t>
            </w:r>
            <w:r w:rsidRPr="00006D3E">
              <w:rPr>
                <w:rFonts w:cs="Arial"/>
                <w:b/>
                <w:sz w:val="20"/>
                <w:szCs w:val="20"/>
              </w:rPr>
              <w:t xml:space="preserve">uidance </w:t>
            </w:r>
            <w:r>
              <w:rPr>
                <w:rFonts w:cs="Arial"/>
                <w:b/>
                <w:sz w:val="20"/>
                <w:szCs w:val="20"/>
              </w:rPr>
              <w:t>could/</w:t>
            </w:r>
            <w:r w:rsidRPr="00006D3E">
              <w:rPr>
                <w:rFonts w:cs="Arial"/>
                <w:b/>
                <w:sz w:val="20"/>
                <w:szCs w:val="20"/>
              </w:rPr>
              <w:t>should include:</w:t>
            </w:r>
            <w:r w:rsidRPr="00CF23F2">
              <w:rPr>
                <w:rFonts w:cs="Arial"/>
                <w:sz w:val="20"/>
                <w:szCs w:val="20"/>
              </w:rPr>
              <w:t xml:space="preserve"> </w:t>
            </w:r>
          </w:p>
          <w:p w14:paraId="265D745A" w14:textId="77777777" w:rsidR="00B61BE2" w:rsidRPr="005E54AD" w:rsidRDefault="00B61BE2" w:rsidP="00614AF5">
            <w:pPr>
              <w:pStyle w:val="ListParagraph"/>
              <w:numPr>
                <w:ilvl w:val="0"/>
                <w:numId w:val="12"/>
              </w:numPr>
              <w:rPr>
                <w:rFonts w:cs="Arial"/>
                <w:sz w:val="20"/>
                <w:szCs w:val="20"/>
              </w:rPr>
            </w:pPr>
            <w:r w:rsidRPr="00CF23F2">
              <w:rPr>
                <w:rFonts w:cs="Arial"/>
                <w:sz w:val="20"/>
                <w:szCs w:val="20"/>
              </w:rPr>
              <w:t>f</w:t>
            </w:r>
            <w:r w:rsidRPr="00006D3E">
              <w:rPr>
                <w:rFonts w:cs="Arial"/>
                <w:sz w:val="20"/>
                <w:szCs w:val="20"/>
              </w:rPr>
              <w:t>ood business risk categorisation tool, definitions with examples of common businesses and how they fit, implementation documents</w:t>
            </w:r>
          </w:p>
        </w:tc>
        <w:tc>
          <w:tcPr>
            <w:tcW w:w="1581" w:type="dxa"/>
            <w:gridSpan w:val="2"/>
          </w:tcPr>
          <w:p w14:paraId="6A457789" w14:textId="77777777" w:rsidR="00B61BE2" w:rsidRPr="00CF23F2" w:rsidRDefault="00B61BE2" w:rsidP="00280892">
            <w:pPr>
              <w:rPr>
                <w:rFonts w:cs="Arial"/>
                <w:sz w:val="20"/>
                <w:szCs w:val="20"/>
              </w:rPr>
            </w:pPr>
            <w:r w:rsidRPr="00CF23F2">
              <w:rPr>
                <w:rFonts w:cs="Arial"/>
                <w:sz w:val="20"/>
                <w:szCs w:val="20"/>
              </w:rPr>
              <w:t>local council, advocacy group</w:t>
            </w:r>
          </w:p>
        </w:tc>
        <w:tc>
          <w:tcPr>
            <w:tcW w:w="6799" w:type="dxa"/>
            <w:vMerge/>
          </w:tcPr>
          <w:p w14:paraId="0607B09E" w14:textId="6973C4BF" w:rsidR="00B61BE2" w:rsidRPr="00CF23F2" w:rsidRDefault="00B61BE2" w:rsidP="00280892">
            <w:pPr>
              <w:rPr>
                <w:rFonts w:cs="Arial"/>
                <w:sz w:val="20"/>
                <w:szCs w:val="20"/>
              </w:rPr>
            </w:pPr>
          </w:p>
        </w:tc>
      </w:tr>
      <w:tr w:rsidR="00B61BE2" w:rsidRPr="00CF23F2" w14:paraId="76C78FA6" w14:textId="77777777" w:rsidTr="00FD5F2E">
        <w:tc>
          <w:tcPr>
            <w:tcW w:w="6357" w:type="dxa"/>
          </w:tcPr>
          <w:p w14:paraId="1842202B" w14:textId="77777777" w:rsidR="00B61BE2" w:rsidRPr="005E54AD" w:rsidRDefault="00B61BE2" w:rsidP="00280892">
            <w:pPr>
              <w:rPr>
                <w:rFonts w:cs="Arial"/>
                <w:b/>
                <w:sz w:val="20"/>
                <w:szCs w:val="20"/>
              </w:rPr>
            </w:pPr>
            <w:r w:rsidRPr="005E54AD">
              <w:rPr>
                <w:rFonts w:cs="Arial"/>
                <w:b/>
                <w:sz w:val="20"/>
                <w:szCs w:val="20"/>
              </w:rPr>
              <w:t>FHT should include:</w:t>
            </w:r>
          </w:p>
          <w:p w14:paraId="3BD8D0C9" w14:textId="77777777" w:rsidR="00B61BE2" w:rsidRDefault="00B61BE2" w:rsidP="00614AF5">
            <w:pPr>
              <w:pStyle w:val="ListParagraph"/>
              <w:numPr>
                <w:ilvl w:val="0"/>
                <w:numId w:val="12"/>
              </w:numPr>
              <w:rPr>
                <w:rFonts w:cs="Arial"/>
                <w:sz w:val="20"/>
                <w:szCs w:val="20"/>
              </w:rPr>
            </w:pPr>
            <w:r w:rsidRPr="58A14E8B">
              <w:rPr>
                <w:rFonts w:cs="Arial"/>
                <w:sz w:val="20"/>
                <w:szCs w:val="20"/>
              </w:rPr>
              <w:t>specific topics for businesses e.g. allergen management, egg safety, industry-specific topics, heating pies, delivery operations</w:t>
            </w:r>
          </w:p>
          <w:p w14:paraId="1A1A4973" w14:textId="3201D87A" w:rsidR="00B61BE2" w:rsidRPr="00B61BE2" w:rsidRDefault="00B61BE2" w:rsidP="00614AF5">
            <w:pPr>
              <w:pStyle w:val="ListParagraph"/>
              <w:numPr>
                <w:ilvl w:val="0"/>
                <w:numId w:val="12"/>
              </w:numPr>
              <w:rPr>
                <w:rFonts w:cs="Arial"/>
                <w:sz w:val="20"/>
                <w:szCs w:val="20"/>
              </w:rPr>
            </w:pPr>
            <w:r w:rsidRPr="00CF23F2">
              <w:rPr>
                <w:rFonts w:cs="Arial"/>
                <w:sz w:val="20"/>
                <w:szCs w:val="20"/>
              </w:rPr>
              <w:t>different training modules for different levels of food handling, similar to UK</w:t>
            </w:r>
          </w:p>
        </w:tc>
        <w:tc>
          <w:tcPr>
            <w:tcW w:w="1581" w:type="dxa"/>
            <w:gridSpan w:val="2"/>
          </w:tcPr>
          <w:p w14:paraId="7D807CB7" w14:textId="77777777" w:rsidR="00B61BE2" w:rsidRDefault="00B61BE2" w:rsidP="00280892">
            <w:pPr>
              <w:rPr>
                <w:rFonts w:cs="Arial"/>
                <w:sz w:val="20"/>
                <w:szCs w:val="20"/>
              </w:rPr>
            </w:pPr>
            <w:r w:rsidRPr="58A14E8B">
              <w:rPr>
                <w:rFonts w:cs="Arial"/>
                <w:sz w:val="20"/>
                <w:szCs w:val="20"/>
              </w:rPr>
              <w:t>state/territory government, local council, service provider</w:t>
            </w:r>
          </w:p>
          <w:p w14:paraId="453D84AC" w14:textId="77777777" w:rsidR="00B61BE2" w:rsidRPr="00CF23F2" w:rsidRDefault="00B61BE2" w:rsidP="00280892">
            <w:pPr>
              <w:rPr>
                <w:rFonts w:cs="Arial"/>
                <w:sz w:val="20"/>
                <w:szCs w:val="20"/>
              </w:rPr>
            </w:pPr>
          </w:p>
        </w:tc>
        <w:tc>
          <w:tcPr>
            <w:tcW w:w="6799" w:type="dxa"/>
            <w:vMerge/>
          </w:tcPr>
          <w:p w14:paraId="64178EA1" w14:textId="3022BA0F" w:rsidR="00B61BE2" w:rsidRPr="58A14E8B" w:rsidRDefault="00B61BE2" w:rsidP="00280892">
            <w:pPr>
              <w:rPr>
                <w:rFonts w:cs="Arial"/>
                <w:sz w:val="20"/>
                <w:szCs w:val="20"/>
              </w:rPr>
            </w:pPr>
          </w:p>
        </w:tc>
      </w:tr>
      <w:tr w:rsidR="00B61BE2" w14:paraId="2327237D" w14:textId="77777777" w:rsidTr="00FD5F2E">
        <w:tc>
          <w:tcPr>
            <w:tcW w:w="6357" w:type="dxa"/>
          </w:tcPr>
          <w:p w14:paraId="60DED95A" w14:textId="77777777" w:rsidR="00B61BE2" w:rsidRDefault="00B61BE2" w:rsidP="00280892">
            <w:pPr>
              <w:rPr>
                <w:rFonts w:cs="Arial"/>
                <w:b/>
                <w:bCs/>
                <w:sz w:val="20"/>
                <w:szCs w:val="20"/>
              </w:rPr>
            </w:pPr>
            <w:r w:rsidRPr="58A14E8B">
              <w:rPr>
                <w:rFonts w:cs="Arial"/>
                <w:b/>
                <w:bCs/>
                <w:sz w:val="20"/>
                <w:szCs w:val="20"/>
              </w:rPr>
              <w:t>E requirement guidance:</w:t>
            </w:r>
          </w:p>
          <w:p w14:paraId="604529E2" w14:textId="77777777" w:rsidR="00B61BE2" w:rsidRDefault="00B61BE2" w:rsidP="00614AF5">
            <w:pPr>
              <w:pStyle w:val="ListParagraph"/>
              <w:numPr>
                <w:ilvl w:val="0"/>
                <w:numId w:val="28"/>
              </w:numPr>
              <w:rPr>
                <w:rFonts w:cs="Arial"/>
                <w:sz w:val="20"/>
                <w:szCs w:val="20"/>
              </w:rPr>
            </w:pPr>
            <w:r w:rsidRPr="58A14E8B">
              <w:rPr>
                <w:rFonts w:cs="Arial"/>
                <w:sz w:val="20"/>
                <w:szCs w:val="20"/>
              </w:rPr>
              <w:t>guidance on what is acceptable</w:t>
            </w:r>
          </w:p>
          <w:p w14:paraId="5864BB49" w14:textId="77777777" w:rsidR="00B61BE2" w:rsidRDefault="00B61BE2" w:rsidP="00614AF5">
            <w:pPr>
              <w:pStyle w:val="ListParagraph"/>
              <w:numPr>
                <w:ilvl w:val="0"/>
                <w:numId w:val="28"/>
              </w:numPr>
              <w:rPr>
                <w:rFonts w:cs="Arial"/>
                <w:sz w:val="20"/>
                <w:szCs w:val="20"/>
              </w:rPr>
            </w:pPr>
            <w:r w:rsidRPr="58A14E8B">
              <w:rPr>
                <w:rFonts w:cs="Arial"/>
                <w:sz w:val="20"/>
                <w:szCs w:val="20"/>
              </w:rPr>
              <w:t>simple guidelines that are realistic, achievable and nationally consistent, including audit and inspection tools</w:t>
            </w:r>
          </w:p>
          <w:p w14:paraId="2B71C6D9" w14:textId="77777777" w:rsidR="00B61BE2" w:rsidRDefault="00B61BE2" w:rsidP="00614AF5">
            <w:pPr>
              <w:pStyle w:val="ListParagraph"/>
              <w:numPr>
                <w:ilvl w:val="0"/>
                <w:numId w:val="28"/>
              </w:numPr>
              <w:rPr>
                <w:rFonts w:cs="Arial"/>
                <w:sz w:val="20"/>
                <w:szCs w:val="20"/>
              </w:rPr>
            </w:pPr>
            <w:r w:rsidRPr="58A14E8B">
              <w:rPr>
                <w:rFonts w:cs="Arial"/>
                <w:sz w:val="20"/>
                <w:szCs w:val="20"/>
              </w:rPr>
              <w:t>a day book/package of resources for businesses, including simple templates</w:t>
            </w:r>
          </w:p>
          <w:p w14:paraId="46E638D1" w14:textId="77777777" w:rsidR="00B61BE2" w:rsidRDefault="00B61BE2" w:rsidP="00614AF5">
            <w:pPr>
              <w:pStyle w:val="ListParagraph"/>
              <w:numPr>
                <w:ilvl w:val="0"/>
                <w:numId w:val="28"/>
              </w:numPr>
              <w:rPr>
                <w:rFonts w:cs="Arial"/>
                <w:sz w:val="20"/>
                <w:szCs w:val="20"/>
              </w:rPr>
            </w:pPr>
            <w:r w:rsidRPr="58A14E8B">
              <w:rPr>
                <w:rFonts w:cs="Arial"/>
                <w:sz w:val="20"/>
                <w:szCs w:val="20"/>
              </w:rPr>
              <w:t>an option for a daily or weekly checklist; and/or similar resources to those in FSP including guidance on why and what needs to be recorded</w:t>
            </w:r>
          </w:p>
          <w:p w14:paraId="091E766E" w14:textId="35D8818F" w:rsidR="00B61BE2" w:rsidRDefault="00B61BE2" w:rsidP="00614AF5">
            <w:pPr>
              <w:pStyle w:val="ListParagraph"/>
              <w:numPr>
                <w:ilvl w:val="0"/>
                <w:numId w:val="28"/>
              </w:numPr>
              <w:rPr>
                <w:rFonts w:cs="Arial"/>
                <w:sz w:val="20"/>
                <w:szCs w:val="20"/>
              </w:rPr>
            </w:pPr>
            <w:r w:rsidRPr="58A14E8B">
              <w:rPr>
                <w:rFonts w:cs="Arial"/>
                <w:sz w:val="20"/>
                <w:szCs w:val="20"/>
              </w:rPr>
              <w:t>supplementary templates for complex food processing</w:t>
            </w:r>
            <w:r w:rsidR="0081747A">
              <w:rPr>
                <w:rFonts w:cs="Arial"/>
                <w:sz w:val="20"/>
                <w:szCs w:val="20"/>
              </w:rPr>
              <w:t xml:space="preserve"> </w:t>
            </w:r>
            <w:r w:rsidRPr="58A14E8B">
              <w:rPr>
                <w:rFonts w:cs="Arial"/>
                <w:sz w:val="20"/>
                <w:szCs w:val="20"/>
              </w:rPr>
              <w:t xml:space="preserve">(e.g. </w:t>
            </w:r>
            <w:proofErr w:type="spellStart"/>
            <w:r w:rsidRPr="58A14E8B">
              <w:rPr>
                <w:rFonts w:cs="Arial"/>
                <w:sz w:val="20"/>
                <w:szCs w:val="20"/>
              </w:rPr>
              <w:t>yiros</w:t>
            </w:r>
            <w:proofErr w:type="spellEnd"/>
            <w:r w:rsidRPr="58A14E8B">
              <w:rPr>
                <w:rFonts w:cs="Arial"/>
                <w:sz w:val="20"/>
                <w:szCs w:val="20"/>
              </w:rPr>
              <w:t xml:space="preserve"> meat, raw egg products, acidification, Chinese BBQ duck/pork and cook-chill).</w:t>
            </w:r>
          </w:p>
          <w:p w14:paraId="70B21EE4" w14:textId="77777777" w:rsidR="00B61BE2" w:rsidRDefault="00B61BE2" w:rsidP="00614AF5">
            <w:pPr>
              <w:pStyle w:val="ListParagraph"/>
              <w:numPr>
                <w:ilvl w:val="0"/>
                <w:numId w:val="28"/>
              </w:numPr>
              <w:rPr>
                <w:rFonts w:cs="Arial"/>
                <w:sz w:val="20"/>
                <w:szCs w:val="20"/>
              </w:rPr>
            </w:pPr>
            <w:r w:rsidRPr="00CF23F2">
              <w:rPr>
                <w:rFonts w:cs="Arial"/>
                <w:sz w:val="20"/>
                <w:szCs w:val="20"/>
              </w:rPr>
              <w:lastRenderedPageBreak/>
              <w:t>temperature monitoring templates, generic corrective action, review procedures etc</w:t>
            </w:r>
            <w:r>
              <w:rPr>
                <w:rFonts w:cs="Arial"/>
                <w:sz w:val="20"/>
                <w:szCs w:val="20"/>
              </w:rPr>
              <w:t>.</w:t>
            </w:r>
          </w:p>
          <w:p w14:paraId="5A332A69" w14:textId="74F39F24" w:rsidR="00B61BE2" w:rsidRPr="00B61BE2" w:rsidRDefault="00B61BE2" w:rsidP="00614AF5">
            <w:pPr>
              <w:pStyle w:val="ListParagraph"/>
              <w:numPr>
                <w:ilvl w:val="0"/>
                <w:numId w:val="28"/>
              </w:numPr>
              <w:rPr>
                <w:rFonts w:cs="Arial"/>
                <w:sz w:val="20"/>
                <w:szCs w:val="20"/>
              </w:rPr>
            </w:pPr>
            <w:r w:rsidRPr="00CF23F2">
              <w:rPr>
                <w:rFonts w:cs="Arial"/>
                <w:sz w:val="20"/>
                <w:szCs w:val="20"/>
              </w:rPr>
              <w:t>generic corrective action, review procedures etc. (e.g. see Food Authority of Ireland’s Safe Catering Pack)</w:t>
            </w:r>
            <w:r>
              <w:rPr>
                <w:rFonts w:cs="Arial"/>
                <w:sz w:val="20"/>
                <w:szCs w:val="20"/>
              </w:rPr>
              <w:t>.</w:t>
            </w:r>
          </w:p>
        </w:tc>
        <w:tc>
          <w:tcPr>
            <w:tcW w:w="1581" w:type="dxa"/>
            <w:gridSpan w:val="2"/>
          </w:tcPr>
          <w:p w14:paraId="77EEDDFA" w14:textId="77777777" w:rsidR="00B61BE2" w:rsidRDefault="00B61BE2" w:rsidP="00280892">
            <w:pPr>
              <w:rPr>
                <w:rFonts w:cs="Arial"/>
                <w:sz w:val="20"/>
                <w:szCs w:val="20"/>
              </w:rPr>
            </w:pPr>
            <w:r w:rsidRPr="58A14E8B">
              <w:rPr>
                <w:rFonts w:cs="Arial"/>
                <w:sz w:val="20"/>
                <w:szCs w:val="20"/>
              </w:rPr>
              <w:lastRenderedPageBreak/>
              <w:t>state/territory government, local council, service provider</w:t>
            </w:r>
          </w:p>
          <w:p w14:paraId="21C6A5E0" w14:textId="77777777" w:rsidR="00B61BE2" w:rsidRDefault="00B61BE2" w:rsidP="00280892">
            <w:pPr>
              <w:rPr>
                <w:rFonts w:cs="Arial"/>
                <w:sz w:val="20"/>
                <w:szCs w:val="20"/>
              </w:rPr>
            </w:pPr>
          </w:p>
        </w:tc>
        <w:tc>
          <w:tcPr>
            <w:tcW w:w="6799" w:type="dxa"/>
            <w:vMerge/>
          </w:tcPr>
          <w:p w14:paraId="5CD64522" w14:textId="4BBC947B" w:rsidR="00B61BE2" w:rsidRPr="58A14E8B" w:rsidRDefault="00B61BE2" w:rsidP="00280892">
            <w:pPr>
              <w:rPr>
                <w:rFonts w:cs="Arial"/>
                <w:sz w:val="20"/>
                <w:szCs w:val="20"/>
              </w:rPr>
            </w:pPr>
          </w:p>
        </w:tc>
      </w:tr>
      <w:tr w:rsidR="00B61BE2" w:rsidRPr="00CF23F2" w14:paraId="44E138BD" w14:textId="77777777" w:rsidTr="00FD5F2E">
        <w:tc>
          <w:tcPr>
            <w:tcW w:w="6357" w:type="dxa"/>
          </w:tcPr>
          <w:p w14:paraId="2F8928BC" w14:textId="77777777" w:rsidR="00B61BE2" w:rsidRPr="00CF23F2" w:rsidRDefault="00B61BE2" w:rsidP="00280892">
            <w:pPr>
              <w:rPr>
                <w:rFonts w:cs="Arial"/>
                <w:sz w:val="20"/>
                <w:szCs w:val="20"/>
              </w:rPr>
            </w:pPr>
            <w:r w:rsidRPr="00CF23F2">
              <w:rPr>
                <w:rFonts w:cs="Arial"/>
                <w:sz w:val="20"/>
                <w:szCs w:val="20"/>
              </w:rPr>
              <w:t>Consider promoting digital record maintenance system coupled with a best practice guide (e.g. Bluetooth app for temperature probe)</w:t>
            </w:r>
            <w:r>
              <w:rPr>
                <w:rFonts w:cs="Arial"/>
                <w:sz w:val="20"/>
                <w:szCs w:val="20"/>
              </w:rPr>
              <w:t>.</w:t>
            </w:r>
          </w:p>
        </w:tc>
        <w:tc>
          <w:tcPr>
            <w:tcW w:w="1581" w:type="dxa"/>
            <w:gridSpan w:val="2"/>
          </w:tcPr>
          <w:p w14:paraId="3BEC8239" w14:textId="77777777" w:rsidR="00B61BE2" w:rsidRPr="00CF23F2" w:rsidRDefault="00B61BE2" w:rsidP="00280892">
            <w:pPr>
              <w:rPr>
                <w:rFonts w:cs="Arial"/>
                <w:sz w:val="20"/>
                <w:szCs w:val="20"/>
              </w:rPr>
            </w:pPr>
            <w:r w:rsidRPr="00CF23F2">
              <w:rPr>
                <w:rFonts w:cs="Arial"/>
                <w:sz w:val="20"/>
                <w:szCs w:val="20"/>
              </w:rPr>
              <w:t>local council</w:t>
            </w:r>
          </w:p>
        </w:tc>
        <w:tc>
          <w:tcPr>
            <w:tcW w:w="6799" w:type="dxa"/>
            <w:vMerge/>
          </w:tcPr>
          <w:p w14:paraId="7B4C9AF2" w14:textId="44AD6D14" w:rsidR="00B61BE2" w:rsidRPr="00CF23F2" w:rsidRDefault="00B61BE2" w:rsidP="00280892">
            <w:pPr>
              <w:rPr>
                <w:rFonts w:cs="Arial"/>
                <w:sz w:val="20"/>
                <w:szCs w:val="20"/>
              </w:rPr>
            </w:pPr>
          </w:p>
        </w:tc>
      </w:tr>
      <w:tr w:rsidR="00B61BE2" w:rsidRPr="00CF23F2" w14:paraId="0A4DA184" w14:textId="77777777" w:rsidTr="00FD5F2E">
        <w:tc>
          <w:tcPr>
            <w:tcW w:w="6357" w:type="dxa"/>
          </w:tcPr>
          <w:p w14:paraId="0F4A8A32" w14:textId="77777777" w:rsidR="00B61BE2" w:rsidRPr="00CF23F2" w:rsidRDefault="00B61BE2" w:rsidP="00280892">
            <w:pPr>
              <w:rPr>
                <w:rFonts w:cs="Arial"/>
                <w:sz w:val="20"/>
                <w:szCs w:val="20"/>
              </w:rPr>
            </w:pPr>
            <w:r>
              <w:rPr>
                <w:rFonts w:cs="Arial"/>
                <w:sz w:val="20"/>
                <w:szCs w:val="20"/>
              </w:rPr>
              <w:t>Further consider</w:t>
            </w:r>
            <w:r w:rsidRPr="00CF23F2">
              <w:rPr>
                <w:rFonts w:cs="Arial"/>
                <w:sz w:val="20"/>
                <w:szCs w:val="20"/>
              </w:rPr>
              <w:t xml:space="preserve"> improving the b</w:t>
            </w:r>
            <w:r>
              <w:rPr>
                <w:rFonts w:cs="Arial"/>
                <w:sz w:val="20"/>
                <w:szCs w:val="20"/>
              </w:rPr>
              <w:t xml:space="preserve">aseline level of compliance </w:t>
            </w:r>
            <w:r w:rsidRPr="00CF23F2">
              <w:rPr>
                <w:rFonts w:cs="Arial"/>
                <w:sz w:val="20"/>
                <w:szCs w:val="20"/>
              </w:rPr>
              <w:t>in these businesses, including improving food safety culture to drive the desire to improve.</w:t>
            </w:r>
          </w:p>
        </w:tc>
        <w:tc>
          <w:tcPr>
            <w:tcW w:w="1581" w:type="dxa"/>
            <w:gridSpan w:val="2"/>
          </w:tcPr>
          <w:p w14:paraId="39A46A58" w14:textId="77777777" w:rsidR="00B61BE2" w:rsidRPr="00CF23F2" w:rsidRDefault="00B61BE2" w:rsidP="00280892">
            <w:pPr>
              <w:rPr>
                <w:rFonts w:cs="Arial"/>
                <w:sz w:val="20"/>
                <w:szCs w:val="20"/>
              </w:rPr>
            </w:pPr>
            <w:r w:rsidRPr="00CF23F2">
              <w:rPr>
                <w:rFonts w:cs="Arial"/>
                <w:sz w:val="20"/>
                <w:szCs w:val="20"/>
              </w:rPr>
              <w:t>local council</w:t>
            </w:r>
          </w:p>
        </w:tc>
        <w:tc>
          <w:tcPr>
            <w:tcW w:w="6799" w:type="dxa"/>
            <w:vMerge/>
          </w:tcPr>
          <w:p w14:paraId="73908510" w14:textId="36A863BB" w:rsidR="00B61BE2" w:rsidRPr="00CF23F2" w:rsidRDefault="00B61BE2" w:rsidP="00280892">
            <w:pPr>
              <w:rPr>
                <w:rFonts w:cs="Arial"/>
                <w:sz w:val="20"/>
                <w:szCs w:val="20"/>
              </w:rPr>
            </w:pPr>
          </w:p>
        </w:tc>
      </w:tr>
    </w:tbl>
    <w:p w14:paraId="08609BE6" w14:textId="2297E210" w:rsidR="007A40CB" w:rsidRDefault="007A40CB" w:rsidP="008962CE"/>
    <w:p w14:paraId="558004D7" w14:textId="77777777" w:rsidR="008962CE" w:rsidRDefault="008962CE" w:rsidP="008962CE"/>
    <w:bookmarkEnd w:id="205"/>
    <w:p w14:paraId="371A6003" w14:textId="77777777" w:rsidR="0012388D" w:rsidRDefault="0012388D" w:rsidP="00755F02">
      <w:pPr>
        <w:rPr>
          <w:rFonts w:cs="Arial"/>
        </w:rPr>
      </w:pPr>
    </w:p>
    <w:sectPr w:rsidR="0012388D" w:rsidSect="00370FF0">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A5BC" w14:textId="77777777" w:rsidR="002C4F27" w:rsidRDefault="002C4F27">
      <w:r>
        <w:separator/>
      </w:r>
    </w:p>
    <w:p w14:paraId="52290D17" w14:textId="77777777" w:rsidR="002C4F27" w:rsidRDefault="002C4F27"/>
  </w:endnote>
  <w:endnote w:type="continuationSeparator" w:id="0">
    <w:p w14:paraId="5F27A051" w14:textId="77777777" w:rsidR="002C4F27" w:rsidRDefault="002C4F27">
      <w:r>
        <w:continuationSeparator/>
      </w:r>
    </w:p>
    <w:p w14:paraId="0E3E32B3" w14:textId="77777777" w:rsidR="002C4F27" w:rsidRDefault="002C4F27"/>
  </w:endnote>
  <w:endnote w:type="continuationNotice" w:id="1">
    <w:p w14:paraId="3C9B07FF" w14:textId="77777777" w:rsidR="002C4F27" w:rsidRDefault="002C4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59"/>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65 Medium">
    <w:charset w:val="00"/>
    <w:family w:val="auto"/>
    <w:pitch w:val="variable"/>
    <w:sig w:usb0="E00002FF" w:usb1="50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altName w:val="Times New Roman"/>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5A7B" w14:textId="77777777" w:rsidR="003E12CF" w:rsidRPr="0080443F" w:rsidRDefault="003E12CF" w:rsidP="0080443F">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0DEA82D" w14:textId="0F1909D0" w:rsidR="003E12CF" w:rsidRDefault="003E12CF" w:rsidP="0080443F">
    <w:pPr>
      <w:pStyle w:val="Footer"/>
      <w:framePr w:wrap="around" w:vAnchor="text" w:hAnchor="margin" w:xAlign="center" w:y="1"/>
      <w:jc w:val="center"/>
      <w:rPr>
        <w:rStyle w:val="PageNumber"/>
      </w:rPr>
    </w:pPr>
    <w:r w:rsidRPr="0080443F">
      <w:rPr>
        <w:rStyle w:val="PageNumber"/>
        <w:rFonts w:ascii="Calibri" w:hAnsi="Calibri" w:cs="Calibri"/>
        <w:b/>
        <w:color w:val="F00000"/>
        <w:sz w:val="24"/>
      </w:rPr>
      <w:t>OFFICIAL</w:t>
    </w:r>
    <w:r>
      <w:rPr>
        <w:rStyle w:val="PageNumber"/>
      </w:rPr>
      <w:t xml:space="preserve"> </w:t>
    </w:r>
    <w:r>
      <w:rPr>
        <w:rStyle w:val="PageNumber"/>
      </w:rPr>
      <w:fldChar w:fldCharType="end"/>
    </w:r>
    <w:r w:rsidRPr="6A61D147">
      <w:rPr>
        <w:rStyle w:val="PageNumber"/>
      </w:rPr>
      <w:fldChar w:fldCharType="begin"/>
    </w:r>
    <w:r w:rsidRPr="6A61D147">
      <w:rPr>
        <w:rStyle w:val="PageNumber"/>
      </w:rPr>
      <w:instrText xml:space="preserve">PAGE  </w:instrText>
    </w:r>
    <w:r w:rsidRPr="6A61D147">
      <w:rPr>
        <w:rStyle w:val="PageNumber"/>
      </w:rPr>
      <w:fldChar w:fldCharType="end"/>
    </w:r>
  </w:p>
  <w:p w14:paraId="38E6A9EE" w14:textId="77777777" w:rsidR="003E12CF" w:rsidRDefault="003E12CF" w:rsidP="008044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AD61" w14:textId="47E0F82C" w:rsidR="003E12CF" w:rsidRDefault="003E12CF" w:rsidP="00266CCA">
    <w:pPr>
      <w:pStyle w:val="Footer"/>
    </w:pPr>
  </w:p>
  <w:p w14:paraId="5ABDC3DA" w14:textId="103B6098" w:rsidR="003E12CF" w:rsidRDefault="003E12CF"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8D4346">
      <w:rPr>
        <w:b/>
        <w:bCs/>
        <w:noProof/>
      </w:rPr>
      <w:t>15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D4346">
      <w:rPr>
        <w:b/>
        <w:bCs/>
        <w:noProof/>
      </w:rPr>
      <w:t>105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B390" w14:textId="77777777" w:rsidR="003E12CF" w:rsidRPr="0080443F" w:rsidRDefault="003E12CF" w:rsidP="0080443F">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6945589" w14:textId="5E087693" w:rsidR="003E12CF" w:rsidRPr="0080443F" w:rsidRDefault="003E12CF" w:rsidP="0080443F">
    <w:pPr>
      <w:pStyle w:val="Footer"/>
      <w:jc w:val="center"/>
    </w:pPr>
    <w:r w:rsidRPr="0080443F">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4306" w14:textId="77777777" w:rsidR="003E12CF" w:rsidRPr="0080443F" w:rsidRDefault="003E12CF" w:rsidP="0080443F">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5FCA07AC" w14:textId="16F43598" w:rsidR="003E12CF" w:rsidRPr="0080443F" w:rsidRDefault="003E12CF" w:rsidP="0080443F">
    <w:pPr>
      <w:pStyle w:val="Footer"/>
      <w:jc w:val="center"/>
    </w:pPr>
    <w:r w:rsidRPr="0080443F">
      <w:rPr>
        <w:rFonts w:ascii="Calibri" w:hAnsi="Calibri" w:cs="Calibri"/>
        <w:b/>
        <w:color w:val="F00000"/>
        <w:sz w:val="24"/>
      </w:rPr>
      <w:t>OFFICIAL</w:t>
    </w:r>
    <w:r>
      <w:t xml:space="preserve">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C462" w14:textId="77777777" w:rsidR="003E12CF" w:rsidRPr="0080443F" w:rsidRDefault="003E12CF" w:rsidP="0080443F">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58CB4700" w14:textId="5208968D" w:rsidR="003E12CF" w:rsidRPr="0080443F" w:rsidRDefault="003E12CF" w:rsidP="0080443F">
    <w:pPr>
      <w:pStyle w:val="Footer"/>
      <w:jc w:val="center"/>
    </w:pPr>
    <w:r w:rsidRPr="0080443F">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EFC8" w14:textId="77777777" w:rsidR="002C4F27" w:rsidRDefault="002C4F27">
      <w:r>
        <w:separator/>
      </w:r>
    </w:p>
  </w:footnote>
  <w:footnote w:type="continuationSeparator" w:id="0">
    <w:p w14:paraId="6F07A996" w14:textId="77777777" w:rsidR="002C4F27" w:rsidRDefault="002C4F27">
      <w:r>
        <w:continuationSeparator/>
      </w:r>
    </w:p>
  </w:footnote>
  <w:footnote w:type="continuationNotice" w:id="1">
    <w:p w14:paraId="24601EE6" w14:textId="77777777" w:rsidR="002C4F27" w:rsidRDefault="002C4F27"/>
  </w:footnote>
  <w:footnote w:id="2">
    <w:p w14:paraId="3E49523D" w14:textId="77777777" w:rsidR="003E12CF" w:rsidRPr="00F5167D" w:rsidRDefault="003E12CF" w:rsidP="00DC14FC">
      <w:pPr>
        <w:pStyle w:val="FootnoteText"/>
        <w:rPr>
          <w:rStyle w:val="FootnoteReference"/>
          <w:lang w:val="en-AU"/>
        </w:rPr>
      </w:pPr>
      <w:r w:rsidRPr="00F5167D">
        <w:rPr>
          <w:rStyle w:val="FootnoteReference"/>
        </w:rPr>
        <w:footnoteRef/>
      </w:r>
      <w:r w:rsidRPr="00F5167D">
        <w:rPr>
          <w:rStyle w:val="FootnoteReference"/>
        </w:rPr>
        <w:t xml:space="preserve"> </w:t>
      </w:r>
      <w:r>
        <w:rPr>
          <w:sz w:val="16"/>
          <w:szCs w:val="16"/>
          <w:lang w:val="en-AU"/>
        </w:rPr>
        <w:t>On 29 June 2018 the</w:t>
      </w:r>
      <w:r w:rsidRPr="00D902CA">
        <w:rPr>
          <w:sz w:val="16"/>
          <w:szCs w:val="16"/>
          <w:lang w:val="en-AU"/>
        </w:rPr>
        <w:t> Forum endorsed Australia’s Foodborne Illness Reduction Strategy 2018-2021+.</w:t>
      </w:r>
    </w:p>
  </w:footnote>
  <w:footnote w:id="3">
    <w:p w14:paraId="26243AE9" w14:textId="40AD25CE" w:rsidR="003E12CF" w:rsidRPr="00B44545" w:rsidRDefault="003E12CF">
      <w:pPr>
        <w:pStyle w:val="FootnoteText"/>
        <w:rPr>
          <w:sz w:val="16"/>
          <w:lang w:val="en-AU"/>
        </w:rPr>
      </w:pPr>
      <w:r>
        <w:rPr>
          <w:rStyle w:val="FootnoteReference"/>
        </w:rPr>
        <w:footnoteRef/>
      </w:r>
      <w:r>
        <w:t xml:space="preserve"> </w:t>
      </w:r>
      <w:r w:rsidRPr="00B44545">
        <w:rPr>
          <w:sz w:val="16"/>
          <w:lang w:val="en-AU"/>
        </w:rPr>
        <w:t xml:space="preserve">FSANZ review of food safety management standards: </w:t>
      </w:r>
      <w:hyperlink r:id="rId1" w:history="1">
        <w:r w:rsidRPr="00B44545">
          <w:rPr>
            <w:rStyle w:val="Hyperlink"/>
            <w:sz w:val="16"/>
          </w:rPr>
          <w:t>Review of food safety management standards (foodstandards.gov.au)</w:t>
        </w:r>
      </w:hyperlink>
    </w:p>
  </w:footnote>
  <w:footnote w:id="4">
    <w:p w14:paraId="041572D3" w14:textId="77777777" w:rsidR="003E12CF" w:rsidRPr="00A365A9" w:rsidRDefault="003E12CF" w:rsidP="00DC14FC">
      <w:pPr>
        <w:pStyle w:val="FootnoteText"/>
        <w:rPr>
          <w:sz w:val="16"/>
          <w:szCs w:val="16"/>
          <w:lang w:val="en-AU"/>
        </w:rPr>
      </w:pPr>
      <w:r>
        <w:rPr>
          <w:rStyle w:val="FootnoteReference"/>
        </w:rPr>
        <w:footnoteRef/>
      </w:r>
      <w:r>
        <w:t xml:space="preserve"> </w:t>
      </w:r>
      <w:hyperlink r:id="rId2" w:history="1">
        <w:r w:rsidRPr="00A365A9">
          <w:rPr>
            <w:rStyle w:val="Hyperlink"/>
            <w:rFonts w:cstheme="minorBidi"/>
            <w:sz w:val="16"/>
            <w:szCs w:val="16"/>
            <w:lang w:val="en-AU"/>
          </w:rPr>
          <w:t>https://www.foodstandards.gov.au/foodsafety/standards/Pages/Review-of-Standard-4.2.5-%E2%80%93-Primary-production-and-processing-standard-for-eggs-and-egg-products.aspx</w:t>
        </w:r>
      </w:hyperlink>
    </w:p>
  </w:footnote>
  <w:footnote w:id="5">
    <w:p w14:paraId="216FFAF5" w14:textId="68F513B9" w:rsidR="003E12CF" w:rsidRDefault="003E12CF">
      <w:r w:rsidRPr="3C0957AF">
        <w:rPr>
          <w:rStyle w:val="FootnoteReference"/>
        </w:rPr>
        <w:footnoteRef/>
      </w:r>
      <w:r>
        <w:t xml:space="preserve"> </w:t>
      </w:r>
      <w:r w:rsidRPr="3C0957AF">
        <w:rPr>
          <w:sz w:val="16"/>
          <w:szCs w:val="16"/>
        </w:rPr>
        <w:t>microbiological risk profile Section 3.3 Results provides more detail</w:t>
      </w:r>
    </w:p>
  </w:footnote>
  <w:footnote w:id="6">
    <w:p w14:paraId="16FCAD31" w14:textId="77777777" w:rsidR="003E12CF" w:rsidRPr="00B73672" w:rsidRDefault="003E12CF" w:rsidP="00842F38">
      <w:pPr>
        <w:pStyle w:val="FootnoteText"/>
        <w:rPr>
          <w:sz w:val="16"/>
          <w:szCs w:val="16"/>
          <w:lang w:val="en-AU"/>
        </w:rPr>
      </w:pPr>
      <w:r w:rsidRPr="00B73672">
        <w:rPr>
          <w:rStyle w:val="FootnoteReference"/>
          <w:sz w:val="16"/>
          <w:szCs w:val="16"/>
        </w:rPr>
        <w:footnoteRef/>
      </w:r>
      <w:r w:rsidRPr="00B73672">
        <w:rPr>
          <w:sz w:val="16"/>
          <w:szCs w:val="16"/>
        </w:rPr>
        <w:t xml:space="preserve"> </w:t>
      </w:r>
      <w:hyperlink r:id="rId3" w:history="1">
        <w:r w:rsidRPr="00B73672">
          <w:rPr>
            <w:rStyle w:val="Hyperlink"/>
            <w:sz w:val="16"/>
            <w:szCs w:val="16"/>
          </w:rPr>
          <w:t>https://foodregulation.gov.au/internet/fr/publishing.nsf/Content/publication-stategic-statement</w:t>
        </w:r>
      </w:hyperlink>
      <w:r w:rsidRPr="00B73672">
        <w:rPr>
          <w:sz w:val="16"/>
          <w:szCs w:val="16"/>
        </w:rPr>
        <w:t xml:space="preserve"> </w:t>
      </w:r>
    </w:p>
  </w:footnote>
  <w:footnote w:id="7">
    <w:p w14:paraId="7EB77FE7" w14:textId="0E31284E" w:rsidR="003E12CF" w:rsidRDefault="003E12CF" w:rsidP="3C0957AF">
      <w:pPr>
        <w:rPr>
          <w:szCs w:val="22"/>
        </w:rPr>
      </w:pPr>
      <w:r w:rsidRPr="3C0957AF">
        <w:rPr>
          <w:rStyle w:val="FootnoteReference"/>
        </w:rPr>
        <w:footnoteRef/>
      </w:r>
      <w:r>
        <w:t xml:space="preserve"> </w:t>
      </w:r>
      <w:r w:rsidRPr="3C0957AF">
        <w:rPr>
          <w:sz w:val="16"/>
          <w:szCs w:val="16"/>
        </w:rPr>
        <w:t xml:space="preserve">certification would require successful completion of training that is competency verified (through a registered training organisation (RTO) or </w:t>
      </w:r>
      <w:r w:rsidRPr="3C0957AF">
        <w:rPr>
          <w:rFonts w:eastAsia="Arial" w:cs="Arial"/>
          <w:sz w:val="16"/>
          <w:szCs w:val="16"/>
        </w:rPr>
        <w:t>approved training facility as referenced in state/territory food legislation</w:t>
      </w:r>
    </w:p>
  </w:footnote>
  <w:footnote w:id="8">
    <w:p w14:paraId="4AD8E06B" w14:textId="77777777" w:rsidR="003E12CF" w:rsidRPr="00126337" w:rsidRDefault="003E12CF" w:rsidP="00DC2B75">
      <w:pPr>
        <w:pStyle w:val="FootnoteText"/>
        <w:rPr>
          <w:lang w:val="en-AU"/>
        </w:rPr>
      </w:pPr>
      <w:r>
        <w:rPr>
          <w:rStyle w:val="FootnoteReference"/>
        </w:rPr>
        <w:footnoteRef/>
      </w:r>
      <w:r>
        <w:t xml:space="preserve"> </w:t>
      </w:r>
      <w:r>
        <w:rPr>
          <w:rFonts w:cs="Arial"/>
          <w:sz w:val="16"/>
          <w:szCs w:val="16"/>
        </w:rPr>
        <w:t>Outcome of p</w:t>
      </w:r>
      <w:r w:rsidRPr="00126337">
        <w:rPr>
          <w:rFonts w:cs="Arial"/>
          <w:sz w:val="16"/>
          <w:szCs w:val="16"/>
        </w:rPr>
        <w:t>revious cost-benefit work on f</w:t>
      </w:r>
      <w:r>
        <w:rPr>
          <w:rFonts w:cs="Arial"/>
          <w:sz w:val="16"/>
          <w:szCs w:val="16"/>
        </w:rPr>
        <w:t xml:space="preserve">ood </w:t>
      </w:r>
      <w:r w:rsidRPr="00126337">
        <w:rPr>
          <w:rFonts w:cs="Arial"/>
          <w:sz w:val="16"/>
          <w:szCs w:val="16"/>
        </w:rPr>
        <w:t>s</w:t>
      </w:r>
      <w:r>
        <w:rPr>
          <w:rFonts w:cs="Arial"/>
          <w:sz w:val="16"/>
          <w:szCs w:val="16"/>
        </w:rPr>
        <w:t xml:space="preserve">afety </w:t>
      </w:r>
      <w:r w:rsidRPr="00126337">
        <w:rPr>
          <w:rFonts w:cs="Arial"/>
          <w:sz w:val="16"/>
          <w:szCs w:val="16"/>
        </w:rPr>
        <w:t>p</w:t>
      </w:r>
      <w:r>
        <w:rPr>
          <w:rFonts w:cs="Arial"/>
          <w:sz w:val="16"/>
          <w:szCs w:val="16"/>
        </w:rPr>
        <w:t>rogram</w:t>
      </w:r>
      <w:r w:rsidRPr="00126337">
        <w:rPr>
          <w:rFonts w:cs="Arial"/>
          <w:sz w:val="16"/>
          <w:szCs w:val="16"/>
        </w:rPr>
        <w:t>s (Na</w:t>
      </w:r>
      <w:r>
        <w:rPr>
          <w:rFonts w:cs="Arial"/>
          <w:sz w:val="16"/>
          <w:szCs w:val="16"/>
        </w:rPr>
        <w:t>tional Risk Validation Project and the Allen report)</w:t>
      </w:r>
    </w:p>
  </w:footnote>
  <w:footnote w:id="9">
    <w:p w14:paraId="352FE20D" w14:textId="2A646C11" w:rsidR="003E12CF" w:rsidRDefault="003E12CF" w:rsidP="3C0957AF">
      <w:pPr>
        <w:rPr>
          <w:sz w:val="16"/>
          <w:szCs w:val="16"/>
        </w:rPr>
      </w:pPr>
      <w:r w:rsidRPr="3C0957AF">
        <w:rPr>
          <w:rStyle w:val="FootnoteReference"/>
        </w:rPr>
        <w:footnoteRef/>
      </w:r>
      <w:r>
        <w:t xml:space="preserve"> </w:t>
      </w:r>
      <w:r w:rsidRPr="3C0957AF">
        <w:rPr>
          <w:sz w:val="16"/>
          <w:szCs w:val="16"/>
        </w:rPr>
        <w:t xml:space="preserve">in </w:t>
      </w:r>
      <w:r w:rsidRPr="3C0957AF">
        <w:rPr>
          <w:i/>
          <w:iCs/>
          <w:sz w:val="16"/>
          <w:szCs w:val="16"/>
        </w:rPr>
        <w:t xml:space="preserve">Safe Food Australia </w:t>
      </w:r>
      <w:r w:rsidRPr="3C0957AF">
        <w:rPr>
          <w:sz w:val="16"/>
          <w:szCs w:val="16"/>
        </w:rPr>
        <w:t>and jurisdictional food regulator websites</w:t>
      </w:r>
    </w:p>
  </w:footnote>
  <w:footnote w:id="10">
    <w:p w14:paraId="1ABFC4D8" w14:textId="77777777" w:rsidR="003E12CF" w:rsidRPr="00B83E0C" w:rsidRDefault="003E12CF" w:rsidP="00D349E5">
      <w:pPr>
        <w:pStyle w:val="Footnote"/>
        <w:tabs>
          <w:tab w:val="clear" w:pos="851"/>
          <w:tab w:val="left" w:pos="567"/>
        </w:tabs>
        <w:rPr>
          <w:rStyle w:val="FootnoteReference"/>
          <w:sz w:val="16"/>
          <w:szCs w:val="16"/>
        </w:rPr>
      </w:pPr>
      <w:r w:rsidRPr="00B83E0C">
        <w:rPr>
          <w:rStyle w:val="FootnoteReference"/>
          <w:sz w:val="16"/>
          <w:szCs w:val="16"/>
        </w:rPr>
        <w:footnoteRef/>
      </w:r>
      <w:r w:rsidRPr="00B83E0C">
        <w:rPr>
          <w:rStyle w:val="FootnoteReference"/>
          <w:sz w:val="16"/>
          <w:szCs w:val="16"/>
        </w:rPr>
        <w:t xml:space="preserve"> </w:t>
      </w:r>
      <w:r w:rsidRPr="3C0957AF">
        <w:rPr>
          <w:rStyle w:val="FootnoteReference"/>
          <w:sz w:val="16"/>
          <w:szCs w:val="16"/>
          <w:vertAlign w:val="baseline"/>
        </w:rPr>
        <w:t>Risk profiling is defined by FAO/WHO as ‘the process of describing a food safety problem and its context, in order to identify those elements of the hazard or risk relevant to various risk management decisions’.</w:t>
      </w:r>
    </w:p>
  </w:footnote>
  <w:footnote w:id="11">
    <w:p w14:paraId="49EF46B2" w14:textId="77777777" w:rsidR="003E12CF" w:rsidRDefault="003E12CF" w:rsidP="00D349E5">
      <w:pPr>
        <w:pStyle w:val="Footnote"/>
        <w:tabs>
          <w:tab w:val="clear" w:pos="851"/>
          <w:tab w:val="left" w:pos="567"/>
        </w:tabs>
      </w:pPr>
      <w:r w:rsidRPr="00B83E0C">
        <w:rPr>
          <w:rStyle w:val="FootnoteReference"/>
          <w:sz w:val="16"/>
          <w:szCs w:val="16"/>
        </w:rPr>
        <w:footnoteRef/>
      </w:r>
      <w:r w:rsidRPr="00B83E0C">
        <w:rPr>
          <w:rStyle w:val="FootnoteReference"/>
          <w:sz w:val="16"/>
          <w:szCs w:val="16"/>
        </w:rPr>
        <w:t xml:space="preserve"> </w:t>
      </w:r>
      <w:r w:rsidRPr="3C0957AF">
        <w:rPr>
          <w:rStyle w:val="FootnoteReference"/>
          <w:sz w:val="16"/>
          <w:szCs w:val="16"/>
          <w:vertAlign w:val="baseline"/>
        </w:rPr>
        <w:t>Risk assessment is a scientific process undertaken to characterise the risk to public health and safety posed by foodborne hazards associated with a food commodity.</w:t>
      </w:r>
      <w:r w:rsidRPr="3C0957AF">
        <w:t xml:space="preserve"> </w:t>
      </w:r>
    </w:p>
  </w:footnote>
  <w:footnote w:id="12">
    <w:p w14:paraId="5AC00882"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w:t>
      </w:r>
      <w:hyperlink r:id="rId4" w:history="1">
        <w:r w:rsidRPr="00DA7FDA">
          <w:rPr>
            <w:rStyle w:val="Hyperlink"/>
            <w:rFonts w:cstheme="minorBidi"/>
            <w:sz w:val="16"/>
            <w:szCs w:val="16"/>
          </w:rPr>
          <w:t>https://obpr.pmc.gov.au/resources/guidance-impact-analysis/regulatory-impact-analysis-guide-ministers-meetings-and-national</w:t>
        </w:r>
      </w:hyperlink>
      <w:r w:rsidRPr="00DA7FDA">
        <w:rPr>
          <w:sz w:val="16"/>
          <w:szCs w:val="16"/>
        </w:rPr>
        <w:t xml:space="preserve"> </w:t>
      </w:r>
    </w:p>
  </w:footnote>
  <w:footnote w:id="13">
    <w:p w14:paraId="141354AC" w14:textId="46BC4C84" w:rsidR="003E12CF" w:rsidRPr="00DA7FDA" w:rsidRDefault="003E12CF" w:rsidP="00CB7716">
      <w:pPr>
        <w:pStyle w:val="FootnoteText"/>
        <w:rPr>
          <w:sz w:val="16"/>
          <w:szCs w:val="16"/>
          <w:lang w:val="en-AU"/>
        </w:rPr>
      </w:pPr>
      <w:r w:rsidRPr="004A4B78">
        <w:rPr>
          <w:rStyle w:val="FootnoteReference"/>
          <w:rFonts w:cs="Arial"/>
          <w:sz w:val="16"/>
          <w:szCs w:val="16"/>
        </w:rPr>
        <w:footnoteRef/>
      </w:r>
      <w:r w:rsidRPr="004A4B78">
        <w:rPr>
          <w:rFonts w:cs="Arial"/>
          <w:sz w:val="16"/>
          <w:szCs w:val="16"/>
          <w:shd w:val="clear" w:color="auto" w:fill="FFFFFF"/>
        </w:rPr>
        <w:t xml:space="preserve"> A detailed r</w:t>
      </w:r>
      <w:r w:rsidRPr="004A4B78">
        <w:rPr>
          <w:rFonts w:cs="Arial"/>
          <w:sz w:val="16"/>
          <w:szCs w:val="16"/>
        </w:rPr>
        <w:t>isk</w:t>
      </w:r>
      <w:r w:rsidRPr="004A4B78">
        <w:rPr>
          <w:sz w:val="16"/>
          <w:szCs w:val="16"/>
        </w:rPr>
        <w:t xml:space="preserve"> </w:t>
      </w:r>
      <w:r w:rsidRPr="00DA7FDA">
        <w:rPr>
          <w:sz w:val="16"/>
          <w:szCs w:val="16"/>
        </w:rPr>
        <w:t>profile for Australian food service and related food retail businesses</w:t>
      </w:r>
      <w:r>
        <w:rPr>
          <w:sz w:val="16"/>
          <w:szCs w:val="16"/>
        </w:rPr>
        <w:t xml:space="preserve"> has been developed for this proposal. This risk profile used </w:t>
      </w:r>
      <w:proofErr w:type="spellStart"/>
      <w:r>
        <w:rPr>
          <w:sz w:val="16"/>
          <w:szCs w:val="16"/>
        </w:rPr>
        <w:t>OzFoodNet</w:t>
      </w:r>
      <w:proofErr w:type="spellEnd"/>
      <w:r>
        <w:rPr>
          <w:sz w:val="16"/>
          <w:szCs w:val="16"/>
        </w:rPr>
        <w:t xml:space="preserve"> data on foodborne outbreaks linked to these sectors (FSANZ, 2022)</w:t>
      </w:r>
      <w:r w:rsidRPr="00DA7FDA">
        <w:rPr>
          <w:sz w:val="16"/>
          <w:szCs w:val="16"/>
          <w:lang w:val="en-AU"/>
        </w:rPr>
        <w:t xml:space="preserve"> </w:t>
      </w:r>
    </w:p>
  </w:footnote>
  <w:footnote w:id="14">
    <w:p w14:paraId="44A3FE1C"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Ministerial Policy Guidelines were developed to guide the processes for determining and implementing appropriate risk management tools for specified retail/food service sectors or business types.</w:t>
      </w:r>
    </w:p>
  </w:footnote>
  <w:footnote w:id="15">
    <w:p w14:paraId="625857C7" w14:textId="77777777" w:rsidR="003E12CF" w:rsidRPr="00DA7FDA" w:rsidRDefault="003E12CF" w:rsidP="00CB7716">
      <w:pPr>
        <w:rPr>
          <w:sz w:val="16"/>
          <w:szCs w:val="16"/>
        </w:rPr>
      </w:pPr>
      <w:r w:rsidRPr="00DA7FDA">
        <w:rPr>
          <w:rStyle w:val="FootnoteReference"/>
          <w:sz w:val="16"/>
          <w:szCs w:val="16"/>
        </w:rPr>
        <w:footnoteRef/>
      </w:r>
      <w:r w:rsidRPr="00DA7FDA">
        <w:rPr>
          <w:sz w:val="16"/>
          <w:szCs w:val="16"/>
        </w:rPr>
        <w:t xml:space="preserve"> </w:t>
      </w:r>
      <w:r w:rsidRPr="00DA7FDA">
        <w:rPr>
          <w:rStyle w:val="Hyperlink"/>
          <w:rFonts w:cs="Arial"/>
          <w:sz w:val="16"/>
          <w:szCs w:val="16"/>
        </w:rPr>
        <w:t>https://www.foodstandards.gov.au/code/proposals/Documents/P1053%20CFS%20report.docx</w:t>
      </w:r>
    </w:p>
  </w:footnote>
  <w:footnote w:id="16">
    <w:p w14:paraId="722C64CD"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In 2017 a stakeholder consultation roadshow was run across all jurisdictions. The feedback provided helped the FSM WG refine the package presented to FRSC. Section 5.1 provides more detail.</w:t>
      </w:r>
    </w:p>
  </w:footnote>
  <w:footnote w:id="17">
    <w:p w14:paraId="2C2401D0"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FRSC </w:t>
      </w:r>
      <w:r w:rsidRPr="00DA7FDA">
        <w:rPr>
          <w:rFonts w:cs="Arial"/>
          <w:color w:val="222222"/>
          <w:sz w:val="16"/>
          <w:szCs w:val="16"/>
          <w:lang w:val="en-AU"/>
        </w:rPr>
        <w:t xml:space="preserve">is a committee under the Food Ministers’ Meeting (formerly the Ministerial Forum) responsible for developing food policy </w:t>
      </w:r>
    </w:p>
  </w:footnote>
  <w:footnote w:id="18">
    <w:p w14:paraId="7C664D6B"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w:t>
      </w:r>
      <w:r>
        <w:rPr>
          <w:sz w:val="16"/>
          <w:szCs w:val="16"/>
        </w:rPr>
        <w:t xml:space="preserve">The </w:t>
      </w:r>
      <w:r w:rsidRPr="008D5610">
        <w:rPr>
          <w:sz w:val="16"/>
          <w:szCs w:val="16"/>
        </w:rPr>
        <w:t>Integrated Model ensures that when</w:t>
      </w:r>
      <w:r>
        <w:rPr>
          <w:sz w:val="16"/>
          <w:szCs w:val="16"/>
        </w:rPr>
        <w:t xml:space="preserve"> food</w:t>
      </w:r>
      <w:r w:rsidRPr="008D5610">
        <w:rPr>
          <w:sz w:val="16"/>
          <w:szCs w:val="16"/>
        </w:rPr>
        <w:t xml:space="preserve"> </w:t>
      </w:r>
      <w:r>
        <w:rPr>
          <w:sz w:val="16"/>
          <w:szCs w:val="16"/>
        </w:rPr>
        <w:t>Ministers give</w:t>
      </w:r>
      <w:r w:rsidRPr="008D5610">
        <w:rPr>
          <w:sz w:val="16"/>
          <w:szCs w:val="16"/>
        </w:rPr>
        <w:t xml:space="preserve"> consideration to the approval of a</w:t>
      </w:r>
      <w:r>
        <w:rPr>
          <w:sz w:val="16"/>
          <w:szCs w:val="16"/>
        </w:rPr>
        <w:t xml:space="preserve"> s</w:t>
      </w:r>
      <w:r w:rsidRPr="008D5610">
        <w:rPr>
          <w:sz w:val="16"/>
          <w:szCs w:val="16"/>
        </w:rPr>
        <w:t xml:space="preserve">tandard, </w:t>
      </w:r>
      <w:r>
        <w:rPr>
          <w:sz w:val="16"/>
          <w:szCs w:val="16"/>
        </w:rPr>
        <w:t>they can be assured that the s</w:t>
      </w:r>
      <w:r w:rsidRPr="008D5610">
        <w:rPr>
          <w:sz w:val="16"/>
          <w:szCs w:val="16"/>
        </w:rPr>
        <w:t>tandard can be consistently implemented in all jurisdictions and that guidance is available to industry to assist in</w:t>
      </w:r>
      <w:r>
        <w:rPr>
          <w:sz w:val="16"/>
          <w:szCs w:val="16"/>
        </w:rPr>
        <w:t xml:space="preserve"> achieving compliance with the s</w:t>
      </w:r>
      <w:r w:rsidRPr="008D5610">
        <w:rPr>
          <w:sz w:val="16"/>
          <w:szCs w:val="16"/>
        </w:rPr>
        <w:t>tandard.</w:t>
      </w:r>
      <w:r>
        <w:rPr>
          <w:sz w:val="16"/>
          <w:szCs w:val="16"/>
        </w:rPr>
        <w:t xml:space="preserve"> </w:t>
      </w:r>
    </w:p>
  </w:footnote>
  <w:footnote w:id="19">
    <w:p w14:paraId="7BB4FF4C"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w:t>
      </w:r>
      <w:r w:rsidRPr="00DA7FDA">
        <w:rPr>
          <w:rFonts w:cs="Arial"/>
          <w:sz w:val="16"/>
          <w:szCs w:val="16"/>
          <w:lang w:val="en-AU"/>
        </w:rPr>
        <w:t xml:space="preserve">Risk classification for these business was assessed by a working group of technical experts and endorsed by the Australian Department of Health. </w:t>
      </w:r>
      <w:hyperlink r:id="rId5" w:history="1">
        <w:r w:rsidRPr="00DA7FDA">
          <w:rPr>
            <w:rStyle w:val="Hyperlink"/>
            <w:rFonts w:cs="Arial"/>
            <w:sz w:val="16"/>
            <w:szCs w:val="16"/>
            <w:lang w:val="en-AU"/>
          </w:rPr>
          <w:t>https://foodregulation.gov.au/internet/fr/publishing.nsf/Content/risk-profiling-framework</w:t>
        </w:r>
      </w:hyperlink>
      <w:r w:rsidRPr="00DA7FDA">
        <w:rPr>
          <w:rFonts w:cs="Arial"/>
          <w:sz w:val="16"/>
          <w:szCs w:val="16"/>
          <w:lang w:val="en-AU"/>
        </w:rPr>
        <w:t xml:space="preserve"> </w:t>
      </w:r>
    </w:p>
  </w:footnote>
  <w:footnote w:id="20">
    <w:p w14:paraId="69B30982" w14:textId="77777777" w:rsidR="003E12CF" w:rsidRPr="0012232E" w:rsidRDefault="003E12CF" w:rsidP="00CB7716">
      <w:pPr>
        <w:pStyle w:val="FootnoteText"/>
        <w:rPr>
          <w:rFonts w:cs="Arial"/>
          <w:szCs w:val="18"/>
          <w:lang w:val="en-AU"/>
        </w:rPr>
      </w:pPr>
      <w:r w:rsidRPr="00DA7FDA">
        <w:rPr>
          <w:rStyle w:val="FootnoteReference"/>
          <w:rFonts w:cs="Arial"/>
          <w:sz w:val="16"/>
          <w:szCs w:val="16"/>
        </w:rPr>
        <w:footnoteRef/>
      </w:r>
      <w:r w:rsidRPr="00DA7FDA">
        <w:rPr>
          <w:rFonts w:cs="Arial"/>
          <w:sz w:val="16"/>
          <w:szCs w:val="16"/>
        </w:rPr>
        <w:t xml:space="preserve"> The HACCP system, is a science based and systematic identification of hazards and control measures to ensure the safety of food along the food chain, rather than relyin</w:t>
      </w:r>
      <w:r>
        <w:rPr>
          <w:rFonts w:cs="Arial"/>
          <w:sz w:val="16"/>
          <w:szCs w:val="16"/>
        </w:rPr>
        <w:t>g mainly on end-product testing</w:t>
      </w:r>
    </w:p>
  </w:footnote>
  <w:footnote w:id="21">
    <w:p w14:paraId="1480A6A8" w14:textId="77777777" w:rsidR="003E12CF" w:rsidRPr="0077754C" w:rsidRDefault="003E12CF" w:rsidP="00CB7716">
      <w:pPr>
        <w:pStyle w:val="FootnoteText"/>
        <w:rPr>
          <w:lang w:val="en-AU"/>
        </w:rPr>
      </w:pPr>
      <w:r w:rsidRPr="00DA7FDA">
        <w:rPr>
          <w:rStyle w:val="FootnoteReference"/>
          <w:rFonts w:cs="Arial"/>
          <w:sz w:val="16"/>
          <w:szCs w:val="16"/>
        </w:rPr>
        <w:footnoteRef/>
      </w:r>
      <w:r w:rsidRPr="00DA7FDA">
        <w:rPr>
          <w:rFonts w:cs="Arial"/>
          <w:sz w:val="16"/>
          <w:szCs w:val="16"/>
        </w:rPr>
        <w:t xml:space="preserve"> </w:t>
      </w:r>
      <w:r w:rsidRPr="00DA7FDA">
        <w:rPr>
          <w:rFonts w:cs="Arial"/>
          <w:color w:val="222222"/>
          <w:sz w:val="16"/>
          <w:szCs w:val="16"/>
          <w:shd w:val="clear" w:color="auto" w:fill="FFFFFF"/>
        </w:rPr>
        <w:t>In 2009, an independent team of food safety experts led by the University of Tasmania’s Food Safety Centre, was commissioned to classify 32 business types throughout the food supply chain using the science-based national Risk Profiling Framework. Each business type was given a risk classification under the four-tier model between Priority 1 and Priority 4.</w:t>
      </w:r>
    </w:p>
  </w:footnote>
  <w:footnote w:id="22">
    <w:p w14:paraId="26863A1F"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w:t>
      </w:r>
      <w:hyperlink r:id="rId6" w:anchor=":~:text=number%20of%20infrastructure%20initiatives%20intended%20to%20guide%20the,the%20food%20safety%20risks%20associated%20with%20the%20business." w:history="1">
        <w:r w:rsidRPr="00DA7FDA">
          <w:rPr>
            <w:rStyle w:val="Hyperlink"/>
            <w:rFonts w:cstheme="minorBidi"/>
            <w:sz w:val="16"/>
            <w:szCs w:val="16"/>
          </w:rPr>
          <w:t>ANZFA_1578_Info_Paper__final.pdf (foodstandards.gov.au)</w:t>
        </w:r>
      </w:hyperlink>
    </w:p>
  </w:footnote>
  <w:footnote w:id="23">
    <w:p w14:paraId="06708EDB" w14:textId="77777777" w:rsidR="003E12CF" w:rsidRPr="00216F1A" w:rsidRDefault="003E12CF" w:rsidP="00CB7716">
      <w:pPr>
        <w:pStyle w:val="FootnoteText"/>
        <w:rPr>
          <w:sz w:val="16"/>
          <w:szCs w:val="16"/>
          <w:lang w:val="en-AU"/>
        </w:rPr>
      </w:pPr>
      <w:r w:rsidRPr="00DA7FDA">
        <w:rPr>
          <w:rStyle w:val="FootnoteReference"/>
          <w:sz w:val="16"/>
          <w:szCs w:val="16"/>
        </w:rPr>
        <w:footnoteRef/>
      </w:r>
      <w:hyperlink r:id="rId7" w:history="1">
        <w:r w:rsidRPr="00DA7FDA">
          <w:rPr>
            <w:rStyle w:val="Hyperlink"/>
            <w:rFonts w:cstheme="minorBidi"/>
            <w:sz w:val="16"/>
            <w:szCs w:val="16"/>
            <w:lang w:val="en-AU"/>
          </w:rPr>
          <w:t>https://www.qld.gov.au/health/staying-healthy/food-pantry/starting-a-food-business/food-business-licences/do-i-need-a-food-business-licence</w:t>
        </w:r>
      </w:hyperlink>
      <w:r w:rsidRPr="00216F1A">
        <w:rPr>
          <w:sz w:val="16"/>
          <w:szCs w:val="16"/>
          <w:lang w:val="en-AU"/>
        </w:rPr>
        <w:t xml:space="preserve"> </w:t>
      </w:r>
    </w:p>
  </w:footnote>
  <w:footnote w:id="24">
    <w:p w14:paraId="27252800" w14:textId="77777777" w:rsidR="003E12CF" w:rsidRPr="00DA7FDA" w:rsidRDefault="003E12CF" w:rsidP="00CB7716">
      <w:pPr>
        <w:pStyle w:val="FootnoteText"/>
        <w:rPr>
          <w:sz w:val="16"/>
          <w:szCs w:val="16"/>
          <w:lang w:val="en-AU"/>
        </w:rPr>
      </w:pPr>
      <w:r w:rsidRPr="00DA7FDA">
        <w:rPr>
          <w:rStyle w:val="FootnoteReference"/>
          <w:sz w:val="16"/>
          <w:szCs w:val="16"/>
        </w:rPr>
        <w:footnoteRef/>
      </w:r>
      <w:r w:rsidRPr="00DA7FDA">
        <w:rPr>
          <w:sz w:val="16"/>
          <w:szCs w:val="16"/>
        </w:rPr>
        <w:t xml:space="preserve"> </w:t>
      </w:r>
      <w:hyperlink r:id="rId8" w:history="1">
        <w:r w:rsidRPr="00DA7FDA">
          <w:rPr>
            <w:rStyle w:val="Hyperlink"/>
            <w:rFonts w:cstheme="minorBidi"/>
            <w:sz w:val="16"/>
            <w:szCs w:val="16"/>
          </w:rPr>
          <w:t>https://www.health.vic.gov.au/food-safety/food-business-classification</w:t>
        </w:r>
      </w:hyperlink>
    </w:p>
  </w:footnote>
  <w:footnote w:id="25">
    <w:p w14:paraId="577C4391" w14:textId="77777777" w:rsidR="003E12CF" w:rsidRPr="00DA7FDA" w:rsidRDefault="003E12CF" w:rsidP="00CB7716">
      <w:pPr>
        <w:pStyle w:val="FootnoteText"/>
        <w:rPr>
          <w:sz w:val="16"/>
          <w:szCs w:val="16"/>
          <w:lang w:val="en-AU"/>
        </w:rPr>
      </w:pPr>
      <w:r w:rsidRPr="00DA7FDA">
        <w:rPr>
          <w:rStyle w:val="FootnoteReference"/>
          <w:sz w:val="16"/>
          <w:szCs w:val="16"/>
        </w:rPr>
        <w:footnoteRef/>
      </w:r>
      <w:hyperlink r:id="rId9" w:history="1">
        <w:r w:rsidRPr="00DA7FDA">
          <w:rPr>
            <w:rStyle w:val="Hyperlink"/>
            <w:rFonts w:cstheme="minorBidi"/>
            <w:sz w:val="16"/>
            <w:szCs w:val="16"/>
          </w:rPr>
          <w:t>https://ww2.health.wa.gov.au/~/media/Files/Corporate/general%20documents/food/PDF/WA_Food_Regulation_Food_Business_Risk_Profiling.pdf</w:t>
        </w:r>
      </w:hyperlink>
      <w:r w:rsidRPr="00DA7FDA">
        <w:rPr>
          <w:sz w:val="16"/>
          <w:szCs w:val="16"/>
        </w:rPr>
        <w:t xml:space="preserve"> </w:t>
      </w:r>
    </w:p>
  </w:footnote>
  <w:footnote w:id="26">
    <w:p w14:paraId="5538FB06" w14:textId="77777777" w:rsidR="003E12CF" w:rsidRPr="00DA7FDA" w:rsidRDefault="003E12CF" w:rsidP="00CB7716">
      <w:pPr>
        <w:pStyle w:val="FootnoteText"/>
        <w:rPr>
          <w:rFonts w:cs="Arial"/>
          <w:sz w:val="16"/>
          <w:szCs w:val="16"/>
        </w:rPr>
      </w:pPr>
      <w:r w:rsidRPr="00DA7FDA">
        <w:rPr>
          <w:rStyle w:val="FootnoteReference"/>
          <w:rFonts w:cs="Arial"/>
          <w:sz w:val="16"/>
          <w:szCs w:val="16"/>
        </w:rPr>
        <w:footnoteRef/>
      </w:r>
      <w:r w:rsidRPr="00DA7FDA">
        <w:rPr>
          <w:rFonts w:cs="Arial"/>
          <w:sz w:val="16"/>
          <w:szCs w:val="16"/>
        </w:rPr>
        <w:t xml:space="preserve"> Australia’s Foodborne Illness Reduction Strategy 2018-2021+ identifies three priority areas for 2018 to 2021 and beyond to further strengthen the food regulatory system</w:t>
      </w:r>
    </w:p>
    <w:p w14:paraId="0602FDDC" w14:textId="77777777" w:rsidR="003E12CF" w:rsidRPr="0012232E" w:rsidRDefault="00266CCA" w:rsidP="00CB7716">
      <w:pPr>
        <w:pStyle w:val="FootnoteText"/>
        <w:rPr>
          <w:rFonts w:cs="Arial"/>
          <w:sz w:val="16"/>
          <w:lang w:val="en-AU"/>
        </w:rPr>
      </w:pPr>
      <w:hyperlink r:id="rId10" w:history="1">
        <w:r w:rsidR="003E12CF" w:rsidRPr="00DA7FDA">
          <w:rPr>
            <w:rStyle w:val="Hyperlink"/>
            <w:rFonts w:cs="Arial"/>
            <w:sz w:val="16"/>
            <w:szCs w:val="16"/>
          </w:rPr>
          <w:t>https://foodregulation.gov.au/internet/fr/publishing.nsf/Content/aus-foodborne-illness-reduction-strategy-2018-2021-Jun-2018</w:t>
        </w:r>
      </w:hyperlink>
    </w:p>
  </w:footnote>
  <w:footnote w:id="27">
    <w:p w14:paraId="3BD18AE2"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w:t>
      </w:r>
      <w:proofErr w:type="spellStart"/>
      <w:r w:rsidRPr="00DA7FDA">
        <w:rPr>
          <w:rFonts w:cs="Arial"/>
          <w:sz w:val="16"/>
          <w:szCs w:val="16"/>
        </w:rPr>
        <w:t>OzFoodNet</w:t>
      </w:r>
      <w:proofErr w:type="spellEnd"/>
      <w:r w:rsidRPr="00DA7FDA">
        <w:rPr>
          <w:rFonts w:cs="Arial"/>
          <w:sz w:val="16"/>
          <w:szCs w:val="16"/>
        </w:rPr>
        <w:t xml:space="preserve"> is a</w:t>
      </w:r>
      <w:r w:rsidRPr="00DA7FDA">
        <w:rPr>
          <w:rFonts w:cs="Arial"/>
          <w:color w:val="000000"/>
          <w:sz w:val="16"/>
          <w:szCs w:val="16"/>
          <w:shd w:val="clear" w:color="auto" w:fill="FFFFFF"/>
        </w:rPr>
        <w:t xml:space="preserve"> national health network to enhance the surveillance of foodborne diseases in Australia. </w:t>
      </w:r>
      <w:hyperlink r:id="rId11" w:history="1">
        <w:proofErr w:type="spellStart"/>
        <w:r w:rsidRPr="00DA7FDA">
          <w:rPr>
            <w:rStyle w:val="Hyperlink"/>
            <w:rFonts w:cs="Arial"/>
            <w:sz w:val="16"/>
            <w:szCs w:val="16"/>
          </w:rPr>
          <w:t>OzFoodNet</w:t>
        </w:r>
        <w:proofErr w:type="spellEnd"/>
        <w:r w:rsidRPr="00DA7FDA">
          <w:rPr>
            <w:rStyle w:val="Hyperlink"/>
            <w:rFonts w:cs="Arial"/>
            <w:sz w:val="16"/>
            <w:szCs w:val="16"/>
          </w:rPr>
          <w:t xml:space="preserve"> surveillance data reports</w:t>
        </w:r>
      </w:hyperlink>
    </w:p>
  </w:footnote>
  <w:footnote w:id="28">
    <w:p w14:paraId="70C9CF26" w14:textId="77777777" w:rsidR="003E12CF" w:rsidRPr="00DA7FDA" w:rsidRDefault="003E12CF" w:rsidP="00CB7716">
      <w:pPr>
        <w:pStyle w:val="FootnoteText"/>
        <w:rPr>
          <w:rFonts w:cs="Arial"/>
          <w:sz w:val="16"/>
          <w:szCs w:val="16"/>
          <w:lang w:val="en-AU"/>
        </w:rPr>
      </w:pPr>
      <w:r w:rsidRPr="00DA7FDA">
        <w:rPr>
          <w:rStyle w:val="FootnoteReference"/>
          <w:rFonts w:cs="Arial"/>
          <w:sz w:val="16"/>
          <w:szCs w:val="16"/>
        </w:rPr>
        <w:footnoteRef/>
      </w:r>
      <w:r w:rsidRPr="00DA7FDA">
        <w:rPr>
          <w:rFonts w:cs="Arial"/>
          <w:sz w:val="16"/>
          <w:szCs w:val="16"/>
        </w:rPr>
        <w:t xml:space="preserve"> </w:t>
      </w:r>
      <w:r w:rsidRPr="00DA7FDA">
        <w:rPr>
          <w:rFonts w:cs="Arial"/>
          <w:color w:val="000000"/>
          <w:sz w:val="16"/>
          <w:szCs w:val="16"/>
          <w:shd w:val="clear" w:color="auto" w:fill="FFFFFF"/>
        </w:rPr>
        <w:t xml:space="preserve">The </w:t>
      </w:r>
      <w:hyperlink r:id="rId12" w:history="1">
        <w:r w:rsidRPr="00DA7FDA">
          <w:rPr>
            <w:rStyle w:val="Hyperlink"/>
            <w:rFonts w:cs="Arial"/>
            <w:sz w:val="16"/>
            <w:szCs w:val="16"/>
            <w:shd w:val="clear" w:color="auto" w:fill="FFFFFF"/>
          </w:rPr>
          <w:t>National Notifiable Diseases Surveillance System</w:t>
        </w:r>
      </w:hyperlink>
      <w:r w:rsidRPr="00DA7FDA">
        <w:rPr>
          <w:rFonts w:cs="Arial"/>
          <w:color w:val="000000"/>
          <w:sz w:val="16"/>
          <w:szCs w:val="16"/>
          <w:shd w:val="clear" w:color="auto" w:fill="FFFFFF"/>
        </w:rPr>
        <w:t xml:space="preserve"> (NNDSS) co-ordinates the national surveillance of more than 50 communicable diseases or disease groups.</w:t>
      </w:r>
    </w:p>
  </w:footnote>
  <w:footnote w:id="29">
    <w:p w14:paraId="091CD6D9" w14:textId="77777777" w:rsidR="003E12CF" w:rsidRPr="00096EF8" w:rsidRDefault="003E12CF" w:rsidP="00CB7716">
      <w:pPr>
        <w:pStyle w:val="FootnoteText"/>
        <w:rPr>
          <w:sz w:val="16"/>
          <w:szCs w:val="16"/>
          <w:lang w:val="en-AU"/>
        </w:rPr>
      </w:pPr>
      <w:r w:rsidRPr="00096EF8">
        <w:rPr>
          <w:rStyle w:val="FootnoteReference"/>
          <w:sz w:val="16"/>
          <w:szCs w:val="16"/>
        </w:rPr>
        <w:footnoteRef/>
      </w:r>
      <w:r w:rsidRPr="00096EF8">
        <w:rPr>
          <w:sz w:val="16"/>
          <w:szCs w:val="16"/>
        </w:rPr>
        <w:t xml:space="preserve"> </w:t>
      </w:r>
      <w:r>
        <w:rPr>
          <w:sz w:val="16"/>
          <w:szCs w:val="16"/>
        </w:rPr>
        <w:t xml:space="preserve">Class 1 premises are those that prepare food for vulnerable persons. </w:t>
      </w:r>
      <w:r w:rsidRPr="00096EF8">
        <w:rPr>
          <w:rFonts w:cs="Arial"/>
          <w:sz w:val="16"/>
          <w:szCs w:val="16"/>
          <w:lang w:val="en-AU"/>
        </w:rPr>
        <w:t>Class 2 premises are those that handle unpackaged potentially hazardous foods that need correct temperature control d</w:t>
      </w:r>
      <w:r>
        <w:rPr>
          <w:rFonts w:cs="Arial"/>
          <w:sz w:val="16"/>
          <w:szCs w:val="16"/>
          <w:lang w:val="en-AU"/>
        </w:rPr>
        <w:t xml:space="preserve">uring the food handling process. </w:t>
      </w:r>
      <w:r w:rsidRPr="00096EF8">
        <w:rPr>
          <w:rFonts w:cs="Arial"/>
          <w:sz w:val="16"/>
          <w:szCs w:val="16"/>
          <w:lang w:val="en-AU"/>
        </w:rPr>
        <w:t>This includes restaurants, fast-food outlets, pubs, caterers, delicatessens, supermarkets with delicatessens, cafes, food vending machines handling high risk foods and most manufacturers.</w:t>
      </w:r>
    </w:p>
  </w:footnote>
  <w:footnote w:id="30">
    <w:p w14:paraId="326B07FE" w14:textId="77777777" w:rsidR="003E12CF" w:rsidRPr="00096EF8" w:rsidRDefault="003E12CF" w:rsidP="00CB7716">
      <w:pPr>
        <w:pStyle w:val="FootnoteText"/>
        <w:rPr>
          <w:sz w:val="16"/>
          <w:szCs w:val="16"/>
        </w:rPr>
      </w:pPr>
      <w:r w:rsidRPr="00096EF8">
        <w:rPr>
          <w:rStyle w:val="FootnoteReference"/>
          <w:sz w:val="16"/>
          <w:szCs w:val="16"/>
        </w:rPr>
        <w:footnoteRef/>
      </w:r>
      <w:r w:rsidRPr="00096EF8">
        <w:rPr>
          <w:sz w:val="16"/>
          <w:szCs w:val="16"/>
        </w:rPr>
        <w:t xml:space="preserve"> </w:t>
      </w:r>
      <w:r w:rsidRPr="00096EF8">
        <w:rPr>
          <w:sz w:val="16"/>
          <w:szCs w:val="16"/>
          <w:lang w:val="en-AU"/>
        </w:rPr>
        <w:t xml:space="preserve">Includes off-site caterers and on-site catering where the primary activity is at the premises stated in the license or where the primary activity at part of the premises stated in the licence to cater to 200 </w:t>
      </w:r>
      <w:r w:rsidRPr="00096EF8">
        <w:rPr>
          <w:rFonts w:cs="Arial"/>
          <w:sz w:val="16"/>
          <w:szCs w:val="16"/>
          <w:lang w:val="en-AU"/>
        </w:rPr>
        <w:t>or more people on 12 or more occasions in any 12- month period.</w:t>
      </w:r>
    </w:p>
  </w:footnote>
  <w:footnote w:id="31">
    <w:p w14:paraId="4F1E67D9" w14:textId="77777777" w:rsidR="003E12CF" w:rsidRPr="007354E2" w:rsidRDefault="003E12CF" w:rsidP="00CB7716">
      <w:pPr>
        <w:pStyle w:val="FootnoteText"/>
        <w:rPr>
          <w:sz w:val="16"/>
          <w:lang w:val="en-AU"/>
        </w:rPr>
      </w:pPr>
      <w:r w:rsidRPr="00096EF8">
        <w:rPr>
          <w:rStyle w:val="FootnoteReference"/>
          <w:sz w:val="16"/>
          <w:szCs w:val="16"/>
        </w:rPr>
        <w:footnoteRef/>
      </w:r>
      <w:r w:rsidRPr="00096EF8">
        <w:rPr>
          <w:sz w:val="16"/>
          <w:szCs w:val="16"/>
        </w:rPr>
        <w:t xml:space="preserve"> </w:t>
      </w:r>
      <w:r w:rsidRPr="00096EF8">
        <w:rPr>
          <w:sz w:val="16"/>
          <w:szCs w:val="16"/>
          <w:lang w:val="en-AU"/>
        </w:rPr>
        <w:t xml:space="preserve">ACT has registration exemptions for some businesses: </w:t>
      </w:r>
      <w:hyperlink r:id="rId13" w:history="1">
        <w:r w:rsidRPr="00096EF8">
          <w:rPr>
            <w:rStyle w:val="Hyperlink"/>
            <w:rFonts w:cstheme="minorBidi"/>
            <w:sz w:val="16"/>
            <w:szCs w:val="16"/>
          </w:rPr>
          <w:t>https://www.health.act.gov.au/businesses/food-safety-regulation/starting-food-business</w:t>
        </w:r>
      </w:hyperlink>
      <w:r w:rsidRPr="007354E2">
        <w:rPr>
          <w:sz w:val="16"/>
        </w:rPr>
        <w:t xml:space="preserve"> </w:t>
      </w:r>
    </w:p>
  </w:footnote>
  <w:footnote w:id="32">
    <w:p w14:paraId="5C82E219" w14:textId="77777777" w:rsidR="003E12CF" w:rsidRDefault="003E12CF" w:rsidP="00CB7716">
      <w:pPr>
        <w:pStyle w:val="FootnoteText"/>
        <w:rPr>
          <w:lang w:val="en-AU"/>
        </w:rPr>
      </w:pPr>
      <w:r w:rsidRPr="48861835">
        <w:rPr>
          <w:rStyle w:val="FootnoteReference"/>
          <w:sz w:val="16"/>
          <w:szCs w:val="16"/>
        </w:rPr>
        <w:footnoteRef/>
      </w:r>
      <w:r w:rsidRPr="48861835">
        <w:rPr>
          <w:sz w:val="16"/>
          <w:szCs w:val="16"/>
        </w:rPr>
        <w:t>Page 105. Note that this guidance is not provided in the present version of the handbook but it remains useful guidance in consideration of whether a self-regulatory approach is appropriate.</w:t>
      </w:r>
    </w:p>
  </w:footnote>
  <w:footnote w:id="33">
    <w:p w14:paraId="2428B2FF" w14:textId="77777777" w:rsidR="003E12CF" w:rsidRPr="0012232E" w:rsidRDefault="003E12CF" w:rsidP="00CB7716">
      <w:pPr>
        <w:pStyle w:val="FootnoteText"/>
        <w:rPr>
          <w:rFonts w:cs="Arial"/>
          <w:sz w:val="16"/>
          <w:szCs w:val="18"/>
          <w:lang w:val="en-AU"/>
        </w:rPr>
      </w:pPr>
      <w:r w:rsidRPr="0012232E">
        <w:rPr>
          <w:rStyle w:val="FootnoteReference"/>
          <w:rFonts w:cs="Arial"/>
          <w:sz w:val="16"/>
          <w:szCs w:val="18"/>
        </w:rPr>
        <w:footnoteRef/>
      </w:r>
      <w:r w:rsidRPr="0012232E">
        <w:rPr>
          <w:rFonts w:cs="Arial"/>
          <w:sz w:val="16"/>
          <w:szCs w:val="18"/>
        </w:rPr>
        <w:t xml:space="preserve"> </w:t>
      </w:r>
      <w:r w:rsidRPr="0012232E">
        <w:rPr>
          <w:rFonts w:cs="Arial"/>
          <w:sz w:val="16"/>
          <w:szCs w:val="18"/>
          <w:lang w:val="en-AU"/>
        </w:rPr>
        <w:t xml:space="preserve">NSW prepared a RIS for the introduction of a Food Safety Supervisor regulatory measure in their </w:t>
      </w:r>
      <w:r>
        <w:rPr>
          <w:rFonts w:cs="Arial"/>
          <w:sz w:val="16"/>
          <w:szCs w:val="18"/>
          <w:lang w:val="en-AU"/>
        </w:rPr>
        <w:t>Food A</w:t>
      </w:r>
      <w:r w:rsidRPr="0012232E">
        <w:rPr>
          <w:rFonts w:cs="Arial"/>
          <w:sz w:val="16"/>
          <w:szCs w:val="18"/>
          <w:lang w:val="en-AU"/>
        </w:rPr>
        <w:t>ct</w:t>
      </w:r>
    </w:p>
  </w:footnote>
  <w:footnote w:id="34">
    <w:p w14:paraId="4867B947" w14:textId="77777777" w:rsidR="003E12CF" w:rsidRPr="0012232E" w:rsidRDefault="003E12CF" w:rsidP="00CB7716">
      <w:pPr>
        <w:pStyle w:val="FootnoteText"/>
        <w:rPr>
          <w:sz w:val="16"/>
          <w:szCs w:val="18"/>
          <w:lang w:val="en-AU"/>
        </w:rPr>
      </w:pPr>
      <w:r w:rsidRPr="0012232E">
        <w:rPr>
          <w:rStyle w:val="FootnoteReference"/>
          <w:sz w:val="16"/>
          <w:szCs w:val="18"/>
        </w:rPr>
        <w:footnoteRef/>
      </w:r>
      <w:r w:rsidRPr="0012232E">
        <w:rPr>
          <w:sz w:val="16"/>
          <w:szCs w:val="18"/>
        </w:rPr>
        <w:t xml:space="preserve"> </w:t>
      </w:r>
      <w:r w:rsidRPr="0012232E">
        <w:rPr>
          <w:sz w:val="16"/>
          <w:szCs w:val="18"/>
          <w:lang w:val="en-AU"/>
        </w:rPr>
        <w:t xml:space="preserve">Four of the studies were in the United States, one in Malaysia and one in Korea. </w:t>
      </w:r>
    </w:p>
  </w:footnote>
  <w:footnote w:id="35">
    <w:p w14:paraId="4E3BAE10" w14:textId="77777777" w:rsidR="003E12CF" w:rsidRPr="00337655" w:rsidRDefault="003E12CF" w:rsidP="00CB7716">
      <w:pPr>
        <w:pStyle w:val="FootnoteText"/>
        <w:rPr>
          <w:lang w:val="en-AU"/>
        </w:rPr>
      </w:pPr>
      <w:r w:rsidRPr="0012232E">
        <w:rPr>
          <w:rStyle w:val="FootnoteReference"/>
          <w:sz w:val="16"/>
          <w:szCs w:val="18"/>
        </w:rPr>
        <w:footnoteRef/>
      </w:r>
      <w:r w:rsidRPr="0012232E">
        <w:rPr>
          <w:sz w:val="16"/>
          <w:szCs w:val="18"/>
        </w:rPr>
        <w:t xml:space="preserve"> </w:t>
      </w:r>
      <w:r w:rsidRPr="0012232E">
        <w:rPr>
          <w:sz w:val="16"/>
          <w:szCs w:val="18"/>
          <w:lang w:val="en-AU"/>
        </w:rPr>
        <w:t>Four studies were in the United States, three in Italy, two in the UK, two in India, one in Thailand, one in Egypt and one in Turkey.</w:t>
      </w:r>
      <w:r w:rsidRPr="0012232E">
        <w:rPr>
          <w:sz w:val="16"/>
          <w:lang w:val="en-AU"/>
        </w:rPr>
        <w:t xml:space="preserve"> </w:t>
      </w:r>
    </w:p>
  </w:footnote>
  <w:footnote w:id="36">
    <w:p w14:paraId="62916A69" w14:textId="77777777" w:rsidR="003E12CF" w:rsidRPr="00096EF8" w:rsidRDefault="003E12CF" w:rsidP="00CB7716">
      <w:pPr>
        <w:pStyle w:val="FootnoteText"/>
        <w:rPr>
          <w:lang w:val="en-AU"/>
        </w:rPr>
      </w:pPr>
      <w:r>
        <w:rPr>
          <w:rStyle w:val="FootnoteReference"/>
        </w:rPr>
        <w:footnoteRef/>
      </w:r>
      <w:r>
        <w:t xml:space="preserve"> </w:t>
      </w:r>
      <w:r w:rsidRPr="68C0CA2D">
        <w:rPr>
          <w:rFonts w:cs="Arial"/>
          <w:sz w:val="16"/>
          <w:szCs w:val="16"/>
        </w:rPr>
        <w:t xml:space="preserve">Class 3 premises are </w:t>
      </w:r>
      <w:r w:rsidRPr="68C0CA2D">
        <w:rPr>
          <w:rFonts w:cs="Arial"/>
          <w:sz w:val="16"/>
          <w:szCs w:val="16"/>
          <w:lang w:val="en"/>
        </w:rPr>
        <w:t>are those that sell prepackaged potentially hazardous food (food that needs temperature control to keep safe). Examples of businesses include fruit stalls selling cut fruit, wholesalers distributing prepackaged foods, most milk bars, convenience stores and coffee bars.</w:t>
      </w:r>
    </w:p>
  </w:footnote>
  <w:footnote w:id="37">
    <w:p w14:paraId="7FAC2CBC" w14:textId="1C5F91E1" w:rsidR="003E12CF" w:rsidRPr="008D4EFA" w:rsidRDefault="003E12CF" w:rsidP="00CB7716">
      <w:pPr>
        <w:pStyle w:val="FootnoteText"/>
        <w:rPr>
          <w:sz w:val="16"/>
          <w:szCs w:val="16"/>
          <w:lang w:val="en-AU"/>
        </w:rPr>
      </w:pPr>
      <w:r w:rsidRPr="008D4EFA">
        <w:rPr>
          <w:rStyle w:val="FootnoteReference"/>
          <w:sz w:val="16"/>
          <w:szCs w:val="16"/>
        </w:rPr>
        <w:footnoteRef/>
      </w:r>
      <w:r w:rsidRPr="008D4EFA">
        <w:rPr>
          <w:sz w:val="16"/>
          <w:szCs w:val="16"/>
        </w:rPr>
        <w:t xml:space="preserve"> </w:t>
      </w:r>
      <w:r>
        <w:rPr>
          <w:sz w:val="16"/>
          <w:szCs w:val="16"/>
        </w:rPr>
        <w:t>The ​draft implementation guide</w:t>
      </w:r>
      <w:r w:rsidRPr="008D4EFA">
        <w:rPr>
          <w:sz w:val="16"/>
          <w:szCs w:val="16"/>
        </w:rPr>
        <w:t xml:space="preserve"> </w:t>
      </w:r>
      <w:r>
        <w:rPr>
          <w:sz w:val="16"/>
          <w:szCs w:val="16"/>
        </w:rPr>
        <w:t xml:space="preserve">was developed by the ISFR implementation WG and released alongside the P1053 call for submission report, to help stakeholders understand how the proposed requirements may be applied: </w:t>
      </w:r>
      <w:hyperlink r:id="rId14" w:history="1">
        <w:r w:rsidRPr="008D4EFA">
          <w:rPr>
            <w:rStyle w:val="Hyperlink"/>
            <w:rFonts w:cs="Arial"/>
            <w:sz w:val="16"/>
            <w:szCs w:val="16"/>
          </w:rPr>
          <w:t>https://www.foodstandards.gov.au/code/proposals/Documents/CFS%20SD3_draft%20implementation%20information%20for%20businesses.pdf</w:t>
        </w:r>
      </w:hyperlink>
    </w:p>
  </w:footnote>
  <w:footnote w:id="38">
    <w:p w14:paraId="0B3D2C66" w14:textId="77777777" w:rsidR="003E12CF" w:rsidRPr="003B55BB" w:rsidRDefault="003E12CF" w:rsidP="00CB7716">
      <w:pPr>
        <w:pStyle w:val="FootnoteText"/>
        <w:rPr>
          <w:lang w:val="en-AU"/>
        </w:rPr>
      </w:pPr>
      <w:r w:rsidRPr="68C0CA2D">
        <w:rPr>
          <w:rStyle w:val="FootnoteReference"/>
          <w:sz w:val="16"/>
          <w:szCs w:val="16"/>
        </w:rPr>
        <w:footnoteRef/>
      </w:r>
      <w:r w:rsidRPr="68C0CA2D">
        <w:rPr>
          <w:sz w:val="16"/>
          <w:szCs w:val="16"/>
        </w:rPr>
        <w:t xml:space="preserve"> </w:t>
      </w:r>
      <w:r w:rsidRPr="68C0CA2D">
        <w:rPr>
          <w:sz w:val="16"/>
          <w:szCs w:val="16"/>
          <w:lang w:val="en-AU"/>
        </w:rPr>
        <w:t>These criteria were developed following feedback received to data requests as part of earlier consultations.</w:t>
      </w:r>
    </w:p>
  </w:footnote>
  <w:footnote w:id="39">
    <w:p w14:paraId="44DD0186" w14:textId="77777777" w:rsidR="003E12CF" w:rsidRPr="00734341" w:rsidRDefault="003E12CF" w:rsidP="00CB7716">
      <w:pPr>
        <w:pStyle w:val="FootnoteText"/>
        <w:rPr>
          <w:b/>
          <w:lang w:val="en-AU"/>
        </w:rPr>
      </w:pPr>
      <w:r>
        <w:rPr>
          <w:rStyle w:val="FootnoteReference"/>
        </w:rPr>
        <w:footnoteRef/>
      </w:r>
      <w:hyperlink r:id="rId15" w:history="1">
        <w:r w:rsidRPr="00746448">
          <w:rPr>
            <w:rStyle w:val="Hyperlink"/>
            <w:rFonts w:cs="Arial"/>
            <w:sz w:val="16"/>
            <w:szCs w:val="16"/>
          </w:rPr>
          <w:t>https://webarchive.nla.gov.au/awa/20151020103533/http://www.health.gov.au/internet/main/publishing.nsf/Content/foodsecretariat-isc-model.htm</w:t>
        </w:r>
      </w:hyperlink>
      <w:r>
        <w:rPr>
          <w:sz w:val="16"/>
          <w:szCs w:val="16"/>
        </w:rPr>
        <w:t xml:space="preserve"> </w:t>
      </w:r>
    </w:p>
  </w:footnote>
  <w:footnote w:id="40">
    <w:p w14:paraId="6D903B8E" w14:textId="77777777" w:rsidR="003E12CF" w:rsidRDefault="003E12CF" w:rsidP="00CB7716">
      <w:pPr>
        <w:pStyle w:val="FootnoteText"/>
        <w:rPr>
          <w:lang w:val="en-AU"/>
        </w:rPr>
      </w:pPr>
      <w:r w:rsidRPr="008E32F3">
        <w:rPr>
          <w:rStyle w:val="FootnoteReference"/>
          <w:rFonts w:eastAsia="Arial" w:cs="Arial"/>
          <w:sz w:val="16"/>
          <w:szCs w:val="16"/>
        </w:rPr>
        <w:footnoteRef/>
      </w:r>
      <w:r w:rsidRPr="008E32F3">
        <w:rPr>
          <w:rFonts w:eastAsia="Arial" w:cs="Arial"/>
          <w:sz w:val="16"/>
          <w:szCs w:val="16"/>
        </w:rPr>
        <w:t xml:space="preserve"> N</w:t>
      </w:r>
      <w:r w:rsidRPr="68C0CA2D">
        <w:rPr>
          <w:rFonts w:eastAsia="Arial" w:cs="Arial"/>
          <w:sz w:val="16"/>
          <w:szCs w:val="16"/>
        </w:rPr>
        <w:t>oted in the Allen report (2002).</w:t>
      </w:r>
    </w:p>
  </w:footnote>
  <w:footnote w:id="41">
    <w:p w14:paraId="5149BA89" w14:textId="77777777" w:rsidR="003E12CF" w:rsidRPr="00EA2308" w:rsidRDefault="003E12CF" w:rsidP="00CB7716">
      <w:pPr>
        <w:pStyle w:val="FootnoteText"/>
        <w:rPr>
          <w:lang w:val="en-AU"/>
        </w:rPr>
      </w:pPr>
      <w:r>
        <w:rPr>
          <w:rStyle w:val="FootnoteReference"/>
        </w:rPr>
        <w:footnoteRef/>
      </w:r>
      <w:r w:rsidRPr="68C0CA2D">
        <w:rPr>
          <w:sz w:val="16"/>
          <w:szCs w:val="16"/>
        </w:rPr>
        <w:t xml:space="preserve"> </w:t>
      </w:r>
      <w:r w:rsidRPr="68C0CA2D">
        <w:rPr>
          <w:sz w:val="16"/>
          <w:szCs w:val="16"/>
          <w:lang w:val="en-AU"/>
        </w:rPr>
        <w:t>This refers to longer term illness or conditions which occur as a consequence of an initial illness. For example, Immunologic conditions, such as reactive arthritis, can occur after salmonellosis, due to localized infiltration of Salmonella in joints, bones, organs, and tissues.</w:t>
      </w:r>
    </w:p>
  </w:footnote>
  <w:footnote w:id="42">
    <w:p w14:paraId="1485EEAB" w14:textId="77777777" w:rsidR="003E12CF" w:rsidRPr="00A22EE0" w:rsidRDefault="003E12CF" w:rsidP="00CB7716">
      <w:pPr>
        <w:pStyle w:val="FootnoteText"/>
        <w:rPr>
          <w:rFonts w:cs="Arial"/>
          <w:lang w:val="en-AU"/>
        </w:rPr>
      </w:pPr>
      <w:r w:rsidRPr="00A22EE0">
        <w:rPr>
          <w:rStyle w:val="FootnoteReference"/>
          <w:rFonts w:cs="Arial"/>
          <w:sz w:val="16"/>
          <w:szCs w:val="18"/>
        </w:rPr>
        <w:footnoteRef/>
      </w:r>
      <w:r w:rsidRPr="00A22EE0">
        <w:rPr>
          <w:rFonts w:cs="Arial"/>
          <w:sz w:val="16"/>
          <w:szCs w:val="18"/>
        </w:rPr>
        <w:t xml:space="preserve"> </w:t>
      </w:r>
      <w:r w:rsidRPr="00A22EE0">
        <w:rPr>
          <w:rFonts w:cs="Arial"/>
          <w:sz w:val="16"/>
          <w:szCs w:val="18"/>
          <w:lang w:val="en-AU"/>
        </w:rPr>
        <w:t xml:space="preserve">Available at </w:t>
      </w:r>
      <w:hyperlink r:id="rId16" w:history="1">
        <w:r w:rsidRPr="00A22EE0">
          <w:rPr>
            <w:rStyle w:val="Hyperlink"/>
            <w:rFonts w:cs="Arial"/>
            <w:sz w:val="16"/>
            <w:szCs w:val="18"/>
          </w:rPr>
          <w:t>https://www.dairysafe.vic.gov.au/licensees/dairy-regtech/foodsafetyculture</w:t>
        </w:r>
      </w:hyperlink>
      <w:r w:rsidRPr="00A22EE0">
        <w:rPr>
          <w:rStyle w:val="Hyperlink"/>
          <w:rFonts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1880" w14:textId="77777777" w:rsidR="003E12CF" w:rsidRPr="0080443F" w:rsidRDefault="003E12CF" w:rsidP="0080443F">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80443F">
      <w:rPr>
        <w:rFonts w:ascii="Calibri" w:hAnsi="Calibri" w:cs="Calibri"/>
        <w:b/>
        <w:color w:val="F00000"/>
        <w:sz w:val="24"/>
      </w:rPr>
      <w:t>OFFICIAL</w:t>
    </w:r>
  </w:p>
  <w:p w14:paraId="2DFD3C7C" w14:textId="7B88CE0C" w:rsidR="003E12CF" w:rsidRPr="0080443F" w:rsidRDefault="003E12CF" w:rsidP="0080443F">
    <w:pPr>
      <w:pStyle w:val="Header"/>
      <w:jc w:val="center"/>
    </w:pPr>
    <w:r w:rsidRPr="0080443F">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AE9F" w14:textId="77777777" w:rsidR="003E12CF" w:rsidRPr="0080443F" w:rsidRDefault="003E12CF" w:rsidP="0080443F">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80443F">
      <w:rPr>
        <w:rFonts w:ascii="Calibri" w:hAnsi="Calibri" w:cs="Calibri"/>
        <w:b/>
        <w:bCs/>
        <w:color w:val="F00000"/>
        <w:sz w:val="24"/>
      </w:rPr>
      <w:t>OFFICIAL</w:t>
    </w:r>
  </w:p>
  <w:p w14:paraId="334C8BB7" w14:textId="71F7E4F2" w:rsidR="003E12CF" w:rsidRDefault="003E12CF" w:rsidP="0080443F">
    <w:pPr>
      <w:pStyle w:val="Header"/>
      <w:jc w:val="center"/>
      <w:rPr>
        <w:b/>
        <w:bCs/>
      </w:rPr>
    </w:pPr>
    <w:r w:rsidRPr="0080443F">
      <w:rPr>
        <w:rFonts w:ascii="Calibri" w:hAnsi="Calibri" w:cs="Calibri"/>
        <w:b/>
        <w:bCs/>
        <w:color w:val="F00000"/>
        <w:sz w:val="24"/>
      </w:rPr>
      <w:t xml:space="preserve"> </w:t>
    </w:r>
    <w:r>
      <w:rPr>
        <w:b/>
        <w:bCs/>
      </w:rPr>
      <w:fldChar w:fldCharType="end"/>
    </w:r>
  </w:p>
  <w:p w14:paraId="2E1AB455" w14:textId="626AB91D" w:rsidR="003E12CF" w:rsidRDefault="003E12CF">
    <w:pPr>
      <w:pStyle w:val="Header"/>
      <w:jc w:val="center"/>
      <w:rPr>
        <w:b/>
        <w:bCs/>
      </w:rPr>
    </w:pPr>
    <w:r w:rsidRPr="6A61D147">
      <w:rPr>
        <w:b/>
        <w:bCs/>
      </w:rPr>
      <w:t>BOARD-IN-CONFIDENCE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EE1C" w14:textId="77777777" w:rsidR="003E12CF" w:rsidRPr="0080443F" w:rsidRDefault="003E12CF" w:rsidP="0080443F">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80443F">
      <w:rPr>
        <w:rFonts w:ascii="Calibri" w:hAnsi="Calibri" w:cs="Calibri"/>
        <w:b/>
        <w:color w:val="F00000"/>
        <w:sz w:val="24"/>
      </w:rPr>
      <w:t>OFFICIAL</w:t>
    </w:r>
  </w:p>
  <w:p w14:paraId="3717B193" w14:textId="39FD8FA6" w:rsidR="003E12CF" w:rsidRPr="0080443F" w:rsidRDefault="003E12CF" w:rsidP="0080443F">
    <w:pPr>
      <w:pStyle w:val="Header"/>
      <w:jc w:val="center"/>
    </w:pPr>
    <w:r w:rsidRPr="0080443F">
      <w:rPr>
        <w:rFonts w:ascii="Calibri" w:hAnsi="Calibri" w:cs="Calibri"/>
        <w:b/>
        <w:color w:val="F00000"/>
        <w:sz w:val="24"/>
      </w:rPr>
      <w:t xml:space="preserve"> </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33B6" w14:textId="6EBED15C" w:rsidR="003E12CF" w:rsidRPr="0080443F" w:rsidRDefault="003E12CF" w:rsidP="0080443F">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3036367E" w14:textId="1AF1BE56" w:rsidR="003E12CF" w:rsidRPr="0080443F" w:rsidRDefault="003E12CF" w:rsidP="0080443F">
    <w:pPr>
      <w:pStyle w:val="Header"/>
      <w:jc w:val="center"/>
    </w:pPr>
    <w:r w:rsidRPr="0080443F">
      <w:rPr>
        <w:rFonts w:ascii="Calibri" w:hAnsi="Calibri" w:cs="Calibri"/>
        <w:b/>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6A78" w14:textId="77777777" w:rsidR="003E12CF" w:rsidRPr="0080443F" w:rsidRDefault="003E12CF" w:rsidP="0080443F">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r w:rsidRPr="0080443F">
      <w:rPr>
        <w:rFonts w:ascii="Calibri" w:hAnsi="Calibri" w:cs="Calibri"/>
        <w:b/>
        <w:color w:val="F00000"/>
        <w:sz w:val="24"/>
      </w:rPr>
      <w:t>OFFICIAL</w:t>
    </w:r>
  </w:p>
  <w:p w14:paraId="576C97FA" w14:textId="5B1D5AF4" w:rsidR="003E12CF" w:rsidRPr="0080443F" w:rsidRDefault="003E12CF" w:rsidP="0080443F">
    <w:pPr>
      <w:pStyle w:val="Header"/>
      <w:jc w:val="center"/>
    </w:pPr>
    <w:r w:rsidRPr="0080443F">
      <w:rPr>
        <w:rFonts w:ascii="Calibri" w:hAnsi="Calibri" w:cs="Calibri"/>
        <w:b/>
        <w:color w:val="F00000"/>
        <w:sz w:val="24"/>
      </w:rPr>
      <w:t xml:space="preserve"> </w:t>
    </w:r>
    <w:r>
      <w:fldChar w:fldCharType="end"/>
    </w:r>
  </w:p>
</w:hdr>
</file>

<file path=word/intelligence2.xml><?xml version="1.0" encoding="utf-8"?>
<int2:intelligence xmlns:int2="http://schemas.microsoft.com/office/intelligence/2020/intelligence" xmlns:oel="http://schemas.microsoft.com/office/2019/extlst">
  <int2:observations>
    <int2:textHash int2:hashCode="qhPbnXQ/p6voXQ" int2:id="0qpT66Aw">
      <int2:state int2:value="Rejected" int2:type="LegacyProofing"/>
    </int2:textHash>
    <int2:textHash int2:hashCode="SOVj8UjcBNizHJ" int2:id="5l5QEFff">
      <int2:state int2:value="Rejected" int2:type="LegacyProofing"/>
    </int2:textHash>
    <int2:textHash int2:hashCode="yc0Zi8GptjU2XO" int2:id="6aRrniBF">
      <int2:state int2:value="Rejected" int2:type="LegacyProofing"/>
    </int2:textHash>
    <int2:textHash int2:hashCode="K5k3SIcfUZsfuT" int2:id="EOP3KY0P">
      <int2:state int2:value="Rejected" int2:type="LegacyProofing"/>
    </int2:textHash>
    <int2:textHash int2:hashCode="BC3EUS+j05HFFw" int2:id="KOyJ1woo">
      <int2:state int2:value="Rejected" int2:type="LegacyProofing"/>
    </int2:textHash>
    <int2:textHash int2:hashCode="7TxRGGjZA9DbHN" int2:id="Pe3aeBdw">
      <int2:state int2:value="Rejected" int2:type="LegacyProofing"/>
    </int2:textHash>
    <int2:textHash int2:hashCode="wja/eKPeLUZ+CE" int2:id="SUG9r3tI">
      <int2:state int2:value="Rejected" int2:type="LegacyProofing"/>
    </int2:textHash>
    <int2:textHash int2:hashCode="lV8o4Y7xbneoSd" int2:id="Tr2cHqlS">
      <int2:state int2:value="Rejected" int2:type="LegacyProofing"/>
    </int2:textHash>
    <int2:textHash int2:hashCode="R2LPjaxTt1ZFPq" int2:id="Vc0vXLWn">
      <int2:state int2:value="Rejected" int2:type="LegacyProofing"/>
    </int2:textHash>
    <int2:textHash int2:hashCode="WzHdTi3Sf0E/ep" int2:id="WWpCgM2U">
      <int2:state int2:value="Rejected" int2:type="LegacyProofing"/>
    </int2:textHash>
    <int2:textHash int2:hashCode="PRNy64E4FMcS6f" int2:id="cWE4cCkk">
      <int2:state int2:value="Rejected" int2:type="LegacyProofing"/>
    </int2:textHash>
    <int2:textHash int2:hashCode="0lxNvDq2Y8KNjP" int2:id="gF5DPB7G">
      <int2:state int2:value="Rejected" int2:type="LegacyProofing"/>
    </int2:textHash>
    <int2:textHash int2:hashCode="bdR/fSevDSJH4P" int2:id="iytSuUNw">
      <int2:state int2:value="Rejected" int2:type="LegacyProofing"/>
    </int2:textHash>
    <int2:textHash int2:hashCode="XKotXVUowDNcgE" int2:id="m9g0k9xE">
      <int2:state int2:value="Rejected" int2:type="LegacyProofing"/>
    </int2:textHash>
    <int2:textHash int2:hashCode="CWIpVNUyGW1mml" int2:id="mpZTRH4K">
      <int2:state int2:value="Rejected" int2:type="LegacyProofing"/>
    </int2:textHash>
    <int2:textHash int2:hashCode="C0J74MU85jmt2D" int2:id="tWCAxUIB">
      <int2:state int2:value="Rejected" int2:type="LegacyProofing"/>
    </int2:textHash>
    <int2:textHash int2:hashCode="U3jwNOv9rnDoyV" int2:id="vc0r7biT">
      <int2:state int2:value="Rejected" int2:type="LegacyProofing"/>
    </int2:textHash>
    <int2:textHash int2:hashCode="3TURMmwU7XD4IY" int2:id="vzrlzhe4">
      <int2:state int2:value="Rejected" int2:type="LegacyProofing"/>
    </int2:textHash>
    <int2:bookmark int2:bookmarkName="_Int_jxLgtMkN" int2:invalidationBookmarkName="" int2:hashCode="3aKsP3YcWmO9eC" int2:id="8GDJ22UK">
      <int2:state int2:value="Rejected" int2:type="AugLoop_Text_Critique"/>
    </int2:bookmark>
    <int2:bookmark int2:bookmarkName="_Int_dKPO1Fj0" int2:invalidationBookmarkName="" int2:hashCode="f1OmjTJDRvyEV6" int2:id="B4RQ7f4e">
      <int2:state int2:value="Rejected" int2:type="LegacyProofing"/>
    </int2:bookmark>
    <int2:bookmark int2:bookmarkName="_Int_ZMLS8siU" int2:invalidationBookmarkName="" int2:hashCode="W5Z4vmu9anL2GF" int2:id="Lb8Sfie1"/>
    <int2:bookmark int2:bookmarkName="_Int_HdJSmr4K" int2:invalidationBookmarkName="" int2:hashCode="LDoO9u9DFubl0c" int2:id="QoCts3LF">
      <int2:state int2:value="Rejected" int2:type="LegacyProofing"/>
    </int2:bookmark>
    <int2:bookmark int2:bookmarkName="_Int_E8w7O3nx" int2:invalidationBookmarkName="" int2:hashCode="3aKsP3YcWmO9eC" int2:id="Rc31CEWZ">
      <int2:state int2:value="Rejected" int2:type="AugLoop_Text_Critique"/>
    </int2:bookmark>
    <int2:bookmark int2:bookmarkName="_Int_Wqrhvvgv" int2:invalidationBookmarkName="" int2:hashCode="E1+Tt6RJBbZOzq" int2:id="UJcGR4hn">
      <int2:state int2:value="Rejected" int2:type="AugLoop_Text_Critique"/>
    </int2:bookmark>
    <int2:bookmark int2:bookmarkName="_Int_jh79IaSv" int2:invalidationBookmarkName="" int2:hashCode="wYBAQbIVzVCihN" int2:id="UObxF80M"/>
    <int2:bookmark int2:bookmarkName="_Int_3hqTkSCy" int2:invalidationBookmarkName="" int2:hashCode="f1OmjTJDRvyEV6" int2:id="a6PToq5M">
      <int2:state int2:value="Rejected" int2:type="LegacyProofing"/>
    </int2:bookmark>
    <int2:bookmark int2:bookmarkName="_Int_HHwebQ2h" int2:invalidationBookmarkName="" int2:hashCode="PYDTeeVw+1a//i" int2:id="akMxa4yF">
      <int2:state int2:value="Rejected" int2:type="AugLoop_Text_Critique"/>
    </int2:bookmark>
    <int2:bookmark int2:bookmarkName="_Int_QQBJb9Zj" int2:invalidationBookmarkName="" int2:hashCode="pZGmU5Q5PUeaBE" int2:id="mUK2qfQk"/>
    <int2:bookmark int2:bookmarkName="_Int_60xCYplT" int2:invalidationBookmarkName="" int2:hashCode="c+qYAB7ENg4zpT" int2:id="muNfrwdG"/>
    <int2:bookmark int2:bookmarkName="_Int_lCD4lJf4" int2:invalidationBookmarkName="" int2:hashCode="f1OmjTJDRvyEV6" int2:id="nAbg5FlM">
      <int2:state int2:value="Rejected" int2:type="LegacyProofing"/>
    </int2:bookmark>
    <int2:bookmark int2:bookmarkName="_Int_zcSEk6qB" int2:invalidationBookmarkName="" int2:hashCode="f1OmjTJDRvyEV6" int2:id="oqwPqHcJ">
      <int2:state int2:value="Rejected" int2:type="LegacyProofing"/>
    </int2:bookmark>
    <int2:bookmark int2:bookmarkName="_Int_CLaJJLrg" int2:invalidationBookmarkName="" int2:hashCode="oDKeFME1Nby2NZ" int2:id="pDb3Fvid"/>
    <int2:bookmark int2:bookmarkName="_Int_oCjmi30c" int2:invalidationBookmarkName="" int2:hashCode="PUgpLk0nFPEcKt" int2:id="rBVVobiR"/>
    <int2:bookmark int2:bookmarkName="_Int_BTiX8Uca" int2:invalidationBookmarkName="" int2:hashCode="hR6OT9eGvYj4O2" int2:id="tf6hBy4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ED"/>
    <w:multiLevelType w:val="hybridMultilevel"/>
    <w:tmpl w:val="BA3AE302"/>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82CA2"/>
    <w:multiLevelType w:val="hybridMultilevel"/>
    <w:tmpl w:val="EF1C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2024B"/>
    <w:multiLevelType w:val="hybridMultilevel"/>
    <w:tmpl w:val="536C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739C8"/>
    <w:multiLevelType w:val="hybridMultilevel"/>
    <w:tmpl w:val="F28E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63BF2"/>
    <w:multiLevelType w:val="hybridMultilevel"/>
    <w:tmpl w:val="D2B4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EB3080"/>
    <w:multiLevelType w:val="hybridMultilevel"/>
    <w:tmpl w:val="45AC3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5EB47CC"/>
    <w:multiLevelType w:val="hybridMultilevel"/>
    <w:tmpl w:val="4BE0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AA643B"/>
    <w:multiLevelType w:val="hybridMultilevel"/>
    <w:tmpl w:val="CD2A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020CC1"/>
    <w:multiLevelType w:val="hybridMultilevel"/>
    <w:tmpl w:val="F286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746BB5"/>
    <w:multiLevelType w:val="hybridMultilevel"/>
    <w:tmpl w:val="840677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A254CC4"/>
    <w:multiLevelType w:val="hybridMultilevel"/>
    <w:tmpl w:val="9274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754B8E"/>
    <w:multiLevelType w:val="hybridMultilevel"/>
    <w:tmpl w:val="0464B822"/>
    <w:lvl w:ilvl="0" w:tplc="99A83E64">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2" w15:restartNumberingAfterBreak="0">
    <w:nsid w:val="0E673011"/>
    <w:multiLevelType w:val="hybridMultilevel"/>
    <w:tmpl w:val="3F0C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FF03CA"/>
    <w:multiLevelType w:val="hybridMultilevel"/>
    <w:tmpl w:val="00A0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0FF7397E"/>
    <w:multiLevelType w:val="hybridMultilevel"/>
    <w:tmpl w:val="8802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D27E8A"/>
    <w:multiLevelType w:val="hybridMultilevel"/>
    <w:tmpl w:val="8988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BA2C4E"/>
    <w:multiLevelType w:val="hybridMultilevel"/>
    <w:tmpl w:val="E4D09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706A73"/>
    <w:multiLevelType w:val="hybridMultilevel"/>
    <w:tmpl w:val="2F287640"/>
    <w:lvl w:ilvl="0" w:tplc="C4601FA6">
      <w:start w:val="1"/>
      <w:numFmt w:val="lowerRoman"/>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9" w15:restartNumberingAfterBreak="0">
    <w:nsid w:val="15440CB2"/>
    <w:multiLevelType w:val="hybridMultilevel"/>
    <w:tmpl w:val="9B00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547DD6"/>
    <w:multiLevelType w:val="hybridMultilevel"/>
    <w:tmpl w:val="96E4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D36763"/>
    <w:multiLevelType w:val="hybridMultilevel"/>
    <w:tmpl w:val="AF18C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530A"/>
    <w:multiLevelType w:val="hybridMultilevel"/>
    <w:tmpl w:val="778E2858"/>
    <w:lvl w:ilvl="0" w:tplc="E70A0306">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3" w15:restartNumberingAfterBreak="0">
    <w:nsid w:val="16417BF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176B1531"/>
    <w:multiLevelType w:val="hybridMultilevel"/>
    <w:tmpl w:val="5920A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87D2221"/>
    <w:multiLevelType w:val="hybridMultilevel"/>
    <w:tmpl w:val="E2F4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D45967"/>
    <w:multiLevelType w:val="hybridMultilevel"/>
    <w:tmpl w:val="A2C29F2A"/>
    <w:lvl w:ilvl="0" w:tplc="9440F0BA">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7" w15:restartNumberingAfterBreak="0">
    <w:nsid w:val="21097C4F"/>
    <w:multiLevelType w:val="hybridMultilevel"/>
    <w:tmpl w:val="8C9CA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2F1219C"/>
    <w:multiLevelType w:val="hybridMultilevel"/>
    <w:tmpl w:val="28C2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0B0F3D"/>
    <w:multiLevelType w:val="hybridMultilevel"/>
    <w:tmpl w:val="8F065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3430CC2"/>
    <w:multiLevelType w:val="hybridMultilevel"/>
    <w:tmpl w:val="59CA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CA7764"/>
    <w:multiLevelType w:val="hybridMultilevel"/>
    <w:tmpl w:val="13A0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D85D2F"/>
    <w:multiLevelType w:val="hybridMultilevel"/>
    <w:tmpl w:val="818A24A0"/>
    <w:lvl w:ilvl="0" w:tplc="2AA41A8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3" w15:restartNumberingAfterBreak="0">
    <w:nsid w:val="26FA0076"/>
    <w:multiLevelType w:val="hybridMultilevel"/>
    <w:tmpl w:val="E2F449E6"/>
    <w:lvl w:ilvl="0" w:tplc="7C8ED0EA">
      <w:start w:val="1"/>
      <w:numFmt w:val="decimal"/>
      <w:pStyle w:val="AARBullet"/>
      <w:lvlText w:val="%1."/>
      <w:lvlJc w:val="left"/>
      <w:pPr>
        <w:ind w:left="927" w:hanging="360"/>
      </w:pPr>
      <w:rPr>
        <w:rFonts w:ascii="Arial" w:eastAsia="Times New Roman" w:hAnsi="Arial" w:cs="Arial"/>
        <w:color w:val="auto"/>
        <w:sz w:val="24"/>
      </w:rPr>
    </w:lvl>
    <w:lvl w:ilvl="1" w:tplc="42E4712C">
      <w:start w:val="1"/>
      <w:numFmt w:val="bullet"/>
      <w:lvlText w:val=""/>
      <w:lvlJc w:val="left"/>
      <w:pPr>
        <w:tabs>
          <w:tab w:val="num" w:pos="2214"/>
        </w:tabs>
        <w:ind w:left="2214" w:hanging="567"/>
      </w:pPr>
      <w:rPr>
        <w:rFonts w:ascii="Symbol" w:hAnsi="Symbol" w:hint="default"/>
        <w:sz w:val="18"/>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27801D69"/>
    <w:multiLevelType w:val="hybridMultilevel"/>
    <w:tmpl w:val="DFDE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EB0F2E"/>
    <w:multiLevelType w:val="hybridMultilevel"/>
    <w:tmpl w:val="5A422942"/>
    <w:lvl w:ilvl="0" w:tplc="08090001">
      <w:start w:val="1"/>
      <w:numFmt w:val="bullet"/>
      <w:lvlText w:val=""/>
      <w:lvlJc w:val="left"/>
      <w:pPr>
        <w:ind w:left="360" w:hanging="360"/>
      </w:pPr>
      <w:rPr>
        <w:rFonts w:ascii="Symbol" w:hAnsi="Symbol" w:hint="default"/>
      </w:rPr>
    </w:lvl>
    <w:lvl w:ilvl="1" w:tplc="F57E8BB8">
      <w:start w:val="12"/>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8730D99"/>
    <w:multiLevelType w:val="hybridMultilevel"/>
    <w:tmpl w:val="ACD8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9D4965"/>
    <w:multiLevelType w:val="hybridMultilevel"/>
    <w:tmpl w:val="F394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265550"/>
    <w:multiLevelType w:val="hybridMultilevel"/>
    <w:tmpl w:val="4E2E96F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9E16953"/>
    <w:multiLevelType w:val="hybridMultilevel"/>
    <w:tmpl w:val="3488B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A040F10"/>
    <w:multiLevelType w:val="hybridMultilevel"/>
    <w:tmpl w:val="2A22C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9A2399"/>
    <w:multiLevelType w:val="hybridMultilevel"/>
    <w:tmpl w:val="9D6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C1D0170"/>
    <w:multiLevelType w:val="hybridMultilevel"/>
    <w:tmpl w:val="C10C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D9A2812"/>
    <w:multiLevelType w:val="hybridMultilevel"/>
    <w:tmpl w:val="F2123BC8"/>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2F91059F"/>
    <w:multiLevelType w:val="hybridMultilevel"/>
    <w:tmpl w:val="961E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CA483F"/>
    <w:multiLevelType w:val="hybridMultilevel"/>
    <w:tmpl w:val="94F0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3B08E7"/>
    <w:multiLevelType w:val="hybridMultilevel"/>
    <w:tmpl w:val="8104E182"/>
    <w:lvl w:ilvl="0" w:tplc="C4601FA6">
      <w:start w:val="1"/>
      <w:numFmt w:val="lowerRoman"/>
      <w:lvlText w:val="(%1)"/>
      <w:lvlJc w:val="left"/>
      <w:pPr>
        <w:ind w:left="720" w:hanging="360"/>
      </w:pPr>
      <w:rPr>
        <w:rFonts w:hint="default"/>
      </w:rPr>
    </w:lvl>
    <w:lvl w:ilvl="1" w:tplc="C4601FA6">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3A451EC"/>
    <w:multiLevelType w:val="hybridMultilevel"/>
    <w:tmpl w:val="A2C29F2A"/>
    <w:lvl w:ilvl="0" w:tplc="9440F0BA">
      <w:start w:val="1"/>
      <w:numFmt w:val="lowerLetter"/>
      <w:lvlText w:val="(%1)"/>
      <w:lvlJc w:val="left"/>
      <w:pPr>
        <w:ind w:left="2061" w:hanging="360"/>
      </w:pPr>
      <w:rPr>
        <w:rFonts w:hint="default"/>
        <w:b w:val="0"/>
        <w:i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0" w15:restartNumberingAfterBreak="0">
    <w:nsid w:val="351D518D"/>
    <w:multiLevelType w:val="hybridMultilevel"/>
    <w:tmpl w:val="9E441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5262CD2"/>
    <w:multiLevelType w:val="hybridMultilevel"/>
    <w:tmpl w:val="3D9C1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8E32227"/>
    <w:multiLevelType w:val="hybridMultilevel"/>
    <w:tmpl w:val="B3C2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557D11"/>
    <w:multiLevelType w:val="hybridMultilevel"/>
    <w:tmpl w:val="B39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B6979D4"/>
    <w:multiLevelType w:val="hybridMultilevel"/>
    <w:tmpl w:val="3F84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9D097F"/>
    <w:multiLevelType w:val="hybridMultilevel"/>
    <w:tmpl w:val="0F3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84225E"/>
    <w:multiLevelType w:val="hybridMultilevel"/>
    <w:tmpl w:val="2F287640"/>
    <w:lvl w:ilvl="0" w:tplc="C4601FA6">
      <w:start w:val="1"/>
      <w:numFmt w:val="lowerRoman"/>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7" w15:restartNumberingAfterBreak="0">
    <w:nsid w:val="3E0B7FF8"/>
    <w:multiLevelType w:val="hybridMultilevel"/>
    <w:tmpl w:val="533E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E9656C"/>
    <w:multiLevelType w:val="hybridMultilevel"/>
    <w:tmpl w:val="1C0A3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16748B2"/>
    <w:multiLevelType w:val="hybridMultilevel"/>
    <w:tmpl w:val="0B38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4358C2"/>
    <w:multiLevelType w:val="hybridMultilevel"/>
    <w:tmpl w:val="9A682642"/>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30264E8"/>
    <w:multiLevelType w:val="hybridMultilevel"/>
    <w:tmpl w:val="DAE8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9445B9"/>
    <w:multiLevelType w:val="hybridMultilevel"/>
    <w:tmpl w:val="6D582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591087A"/>
    <w:multiLevelType w:val="hybridMultilevel"/>
    <w:tmpl w:val="CE8E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6562391"/>
    <w:multiLevelType w:val="hybridMultilevel"/>
    <w:tmpl w:val="78D0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A90A60"/>
    <w:multiLevelType w:val="hybridMultilevel"/>
    <w:tmpl w:val="A10E0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6B008C7"/>
    <w:multiLevelType w:val="hybridMultilevel"/>
    <w:tmpl w:val="9B884316"/>
    <w:lvl w:ilvl="0" w:tplc="8320F3A4">
      <w:start w:val="1"/>
      <w:numFmt w:val="lowerLetter"/>
      <w:lvlText w:val="(%1)"/>
      <w:lvlJc w:val="left"/>
      <w:pPr>
        <w:ind w:left="2270" w:hanging="57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67" w15:restartNumberingAfterBreak="0">
    <w:nsid w:val="47734637"/>
    <w:multiLevelType w:val="hybridMultilevel"/>
    <w:tmpl w:val="EF74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8E11EC1"/>
    <w:multiLevelType w:val="hybridMultilevel"/>
    <w:tmpl w:val="021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AC35D5C"/>
    <w:multiLevelType w:val="hybridMultilevel"/>
    <w:tmpl w:val="A00EB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71" w15:restartNumberingAfterBreak="0">
    <w:nsid w:val="4E4F7877"/>
    <w:multiLevelType w:val="multilevel"/>
    <w:tmpl w:val="B35C601C"/>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4E8D4E23"/>
    <w:multiLevelType w:val="hybridMultilevel"/>
    <w:tmpl w:val="B784CB32"/>
    <w:lvl w:ilvl="0" w:tplc="181094A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2446E9"/>
    <w:multiLevelType w:val="hybridMultilevel"/>
    <w:tmpl w:val="E89E7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0383E66"/>
    <w:multiLevelType w:val="hybridMultilevel"/>
    <w:tmpl w:val="6304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52D468E4"/>
    <w:multiLevelType w:val="hybridMultilevel"/>
    <w:tmpl w:val="2AEAAEC8"/>
    <w:lvl w:ilvl="0" w:tplc="34982D74">
      <w:start w:val="1"/>
      <w:numFmt w:val="lowerLetter"/>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5821BEE"/>
    <w:multiLevelType w:val="hybridMultilevel"/>
    <w:tmpl w:val="55F291BA"/>
    <w:lvl w:ilvl="0" w:tplc="C4601FA6">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7BE4FD7"/>
    <w:multiLevelType w:val="hybridMultilevel"/>
    <w:tmpl w:val="665C38C0"/>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AB47BBC"/>
    <w:multiLevelType w:val="hybridMultilevel"/>
    <w:tmpl w:val="3EE8C438"/>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CF026EE"/>
    <w:multiLevelType w:val="hybridMultilevel"/>
    <w:tmpl w:val="8304C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1676681"/>
    <w:multiLevelType w:val="hybridMultilevel"/>
    <w:tmpl w:val="778E2858"/>
    <w:lvl w:ilvl="0" w:tplc="E70A0306">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81" w15:restartNumberingAfterBreak="0">
    <w:nsid w:val="622274AC"/>
    <w:multiLevelType w:val="hybridMultilevel"/>
    <w:tmpl w:val="6E04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411273C"/>
    <w:multiLevelType w:val="hybridMultilevel"/>
    <w:tmpl w:val="A0DE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48B77A1"/>
    <w:multiLevelType w:val="hybridMultilevel"/>
    <w:tmpl w:val="5850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5B76E57"/>
    <w:multiLevelType w:val="hybridMultilevel"/>
    <w:tmpl w:val="8FDA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66A3A06"/>
    <w:multiLevelType w:val="hybridMultilevel"/>
    <w:tmpl w:val="E470391C"/>
    <w:lvl w:ilvl="0" w:tplc="F942E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6A04D27"/>
    <w:multiLevelType w:val="hybridMultilevel"/>
    <w:tmpl w:val="9B884316"/>
    <w:lvl w:ilvl="0" w:tplc="8320F3A4">
      <w:start w:val="1"/>
      <w:numFmt w:val="lowerLetter"/>
      <w:lvlText w:val="(%1)"/>
      <w:lvlJc w:val="left"/>
      <w:pPr>
        <w:ind w:left="2270" w:hanging="57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87" w15:restartNumberingAfterBreak="0">
    <w:nsid w:val="66B45402"/>
    <w:multiLevelType w:val="hybridMultilevel"/>
    <w:tmpl w:val="3B56B1B0"/>
    <w:lvl w:ilvl="0" w:tplc="27B21D44">
      <w:start w:val="1"/>
      <w:numFmt w:val="bullet"/>
      <w:pStyle w:val="ListBullet"/>
      <w:lvlText w:val=""/>
      <w:lvlJc w:val="left"/>
      <w:pPr>
        <w:tabs>
          <w:tab w:val="num" w:pos="360"/>
        </w:tabs>
        <w:ind w:left="360" w:hanging="360"/>
      </w:pPr>
      <w:rPr>
        <w:rFonts w:ascii="Symbol" w:hAnsi="Symbol" w:hint="default"/>
        <w:color w:val="354677"/>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8AE283D"/>
    <w:multiLevelType w:val="hybridMultilevel"/>
    <w:tmpl w:val="E61A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9A7D84"/>
    <w:multiLevelType w:val="hybridMultilevel"/>
    <w:tmpl w:val="172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237E75"/>
    <w:multiLevelType w:val="hybridMultilevel"/>
    <w:tmpl w:val="3098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796472"/>
    <w:multiLevelType w:val="hybridMultilevel"/>
    <w:tmpl w:val="858245AC"/>
    <w:lvl w:ilvl="0" w:tplc="F942E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BD22059"/>
    <w:multiLevelType w:val="hybridMultilevel"/>
    <w:tmpl w:val="7F1852BC"/>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C170EA1"/>
    <w:multiLevelType w:val="hybridMultilevel"/>
    <w:tmpl w:val="C3064C06"/>
    <w:lvl w:ilvl="0" w:tplc="08090001">
      <w:start w:val="1"/>
      <w:numFmt w:val="bullet"/>
      <w:lvlText w:val=""/>
      <w:lvlJc w:val="left"/>
      <w:pPr>
        <w:ind w:left="720" w:hanging="360"/>
      </w:pPr>
      <w:rPr>
        <w:rFonts w:ascii="Symbol" w:hAnsi="Symbol" w:hint="default"/>
      </w:rPr>
    </w:lvl>
    <w:lvl w:ilvl="1" w:tplc="B234E9C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FE20CAE"/>
    <w:multiLevelType w:val="hybridMultilevel"/>
    <w:tmpl w:val="F4D65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FE4595D"/>
    <w:multiLevelType w:val="multilevel"/>
    <w:tmpl w:val="A7EEE02E"/>
    <w:lvl w:ilvl="0">
      <w:start w:val="1"/>
      <w:numFmt w:val="decimal"/>
      <w:lvlText w:val="%1."/>
      <w:lvlJc w:val="left"/>
      <w:pPr>
        <w:ind w:left="1494" w:hanging="360"/>
      </w:pPr>
    </w:lvl>
    <w:lvl w:ilvl="1">
      <w:start w:val="3"/>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96" w15:restartNumberingAfterBreak="0">
    <w:nsid w:val="70EE1E82"/>
    <w:multiLevelType w:val="hybridMultilevel"/>
    <w:tmpl w:val="3336E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15E004B"/>
    <w:multiLevelType w:val="hybridMultilevel"/>
    <w:tmpl w:val="F7948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218458C"/>
    <w:multiLevelType w:val="multilevel"/>
    <w:tmpl w:val="D1C055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73ED1A7C"/>
    <w:multiLevelType w:val="hybridMultilevel"/>
    <w:tmpl w:val="7332C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9AF703E"/>
    <w:multiLevelType w:val="hybridMultilevel"/>
    <w:tmpl w:val="B224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A83535F"/>
    <w:multiLevelType w:val="hybridMultilevel"/>
    <w:tmpl w:val="588EA8FC"/>
    <w:lvl w:ilvl="0" w:tplc="903275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D53344B"/>
    <w:multiLevelType w:val="hybridMultilevel"/>
    <w:tmpl w:val="B56A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EF00445"/>
    <w:multiLevelType w:val="hybridMultilevel"/>
    <w:tmpl w:val="1712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F5648F0"/>
    <w:multiLevelType w:val="hybridMultilevel"/>
    <w:tmpl w:val="99DC33BC"/>
    <w:lvl w:ilvl="0" w:tplc="8320F3A4">
      <w:start w:val="1"/>
      <w:numFmt w:val="lowerLetter"/>
      <w:lvlText w:val="(%1)"/>
      <w:lvlJc w:val="left"/>
      <w:pPr>
        <w:ind w:left="2270" w:hanging="570"/>
      </w:pPr>
      <w:rPr>
        <w:rFonts w:hint="default"/>
      </w:rPr>
    </w:lvl>
    <w:lvl w:ilvl="1" w:tplc="2EE8F2B8">
      <w:start w:val="1"/>
      <w:numFmt w:val="lowerRoman"/>
      <w:lvlText w:val="(%2)"/>
      <w:lvlJc w:val="left"/>
      <w:pPr>
        <w:ind w:left="3140" w:hanging="720"/>
      </w:pPr>
      <w:rPr>
        <w:rFonts w:hint="default"/>
      </w:r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105" w15:restartNumberingAfterBreak="0">
    <w:nsid w:val="7FDC6CCF"/>
    <w:multiLevelType w:val="hybridMultilevel"/>
    <w:tmpl w:val="0410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666780">
    <w:abstractNumId w:val="42"/>
  </w:num>
  <w:num w:numId="2" w16cid:durableId="694691680">
    <w:abstractNumId w:val="14"/>
  </w:num>
  <w:num w:numId="3" w16cid:durableId="355278365">
    <w:abstractNumId w:val="45"/>
  </w:num>
  <w:num w:numId="4" w16cid:durableId="17795198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0666774">
    <w:abstractNumId w:val="95"/>
  </w:num>
  <w:num w:numId="6" w16cid:durableId="1183934708">
    <w:abstractNumId w:val="34"/>
  </w:num>
  <w:num w:numId="7" w16cid:durableId="177041880">
    <w:abstractNumId w:val="0"/>
  </w:num>
  <w:num w:numId="8" w16cid:durableId="1356955470">
    <w:abstractNumId w:val="68"/>
  </w:num>
  <w:num w:numId="9" w16cid:durableId="1849129152">
    <w:abstractNumId w:val="9"/>
  </w:num>
  <w:num w:numId="10" w16cid:durableId="260380978">
    <w:abstractNumId w:val="16"/>
  </w:num>
  <w:num w:numId="11" w16cid:durableId="1047879183">
    <w:abstractNumId w:val="46"/>
  </w:num>
  <w:num w:numId="12" w16cid:durableId="620768822">
    <w:abstractNumId w:val="24"/>
  </w:num>
  <w:num w:numId="13" w16cid:durableId="1151602006">
    <w:abstractNumId w:val="79"/>
  </w:num>
  <w:num w:numId="14" w16cid:durableId="1425609511">
    <w:abstractNumId w:val="35"/>
  </w:num>
  <w:num w:numId="15" w16cid:durableId="1700281757">
    <w:abstractNumId w:val="38"/>
  </w:num>
  <w:num w:numId="16" w16cid:durableId="1980453229">
    <w:abstractNumId w:val="27"/>
  </w:num>
  <w:num w:numId="17" w16cid:durableId="1758482421">
    <w:abstractNumId w:val="5"/>
  </w:num>
  <w:num w:numId="18" w16cid:durableId="1504314660">
    <w:abstractNumId w:val="39"/>
  </w:num>
  <w:num w:numId="19" w16cid:durableId="87622667">
    <w:abstractNumId w:val="99"/>
  </w:num>
  <w:num w:numId="20" w16cid:durableId="1990087755">
    <w:abstractNumId w:val="50"/>
  </w:num>
  <w:num w:numId="21" w16cid:durableId="2061051982">
    <w:abstractNumId w:val="94"/>
  </w:num>
  <w:num w:numId="22" w16cid:durableId="41443951">
    <w:abstractNumId w:val="69"/>
  </w:num>
  <w:num w:numId="23" w16cid:durableId="679047481">
    <w:abstractNumId w:val="96"/>
  </w:num>
  <w:num w:numId="24" w16cid:durableId="29305908">
    <w:abstractNumId w:val="73"/>
  </w:num>
  <w:num w:numId="25" w16cid:durableId="686104883">
    <w:abstractNumId w:val="65"/>
  </w:num>
  <w:num w:numId="26" w16cid:durableId="1634404674">
    <w:abstractNumId w:val="62"/>
  </w:num>
  <w:num w:numId="27" w16cid:durableId="765343726">
    <w:abstractNumId w:val="58"/>
  </w:num>
  <w:num w:numId="28" w16cid:durableId="616568376">
    <w:abstractNumId w:val="74"/>
  </w:num>
  <w:num w:numId="29" w16cid:durableId="984548012">
    <w:abstractNumId w:val="97"/>
  </w:num>
  <w:num w:numId="30" w16cid:durableId="2061399913">
    <w:abstractNumId w:val="40"/>
  </w:num>
  <w:num w:numId="31" w16cid:durableId="1945846535">
    <w:abstractNumId w:val="80"/>
  </w:num>
  <w:num w:numId="32" w16cid:durableId="744230865">
    <w:abstractNumId w:val="22"/>
  </w:num>
  <w:num w:numId="33" w16cid:durableId="855314598">
    <w:abstractNumId w:val="104"/>
  </w:num>
  <w:num w:numId="34" w16cid:durableId="577711876">
    <w:abstractNumId w:val="11"/>
  </w:num>
  <w:num w:numId="35" w16cid:durableId="1109356811">
    <w:abstractNumId w:val="32"/>
  </w:num>
  <w:num w:numId="36" w16cid:durableId="1162116280">
    <w:abstractNumId w:val="49"/>
  </w:num>
  <w:num w:numId="37" w16cid:durableId="733436278">
    <w:abstractNumId w:val="66"/>
  </w:num>
  <w:num w:numId="38" w16cid:durableId="1278948190">
    <w:abstractNumId w:val="91"/>
  </w:num>
  <w:num w:numId="39" w16cid:durableId="995231778">
    <w:abstractNumId w:val="72"/>
  </w:num>
  <w:num w:numId="40" w16cid:durableId="513424874">
    <w:abstractNumId w:val="56"/>
  </w:num>
  <w:num w:numId="41" w16cid:durableId="57093933">
    <w:abstractNumId w:val="75"/>
  </w:num>
  <w:num w:numId="42" w16cid:durableId="90124324">
    <w:abstractNumId w:val="85"/>
  </w:num>
  <w:num w:numId="43" w16cid:durableId="733501991">
    <w:abstractNumId w:val="31"/>
  </w:num>
  <w:num w:numId="44" w16cid:durableId="269168218">
    <w:abstractNumId w:val="59"/>
  </w:num>
  <w:num w:numId="45" w16cid:durableId="194543475">
    <w:abstractNumId w:val="47"/>
  </w:num>
  <w:num w:numId="46" w16cid:durableId="1610351050">
    <w:abstractNumId w:val="83"/>
  </w:num>
  <w:num w:numId="47" w16cid:durableId="1827086047">
    <w:abstractNumId w:val="102"/>
  </w:num>
  <w:num w:numId="48" w16cid:durableId="326247213">
    <w:abstractNumId w:val="101"/>
  </w:num>
  <w:num w:numId="49" w16cid:durableId="345789701">
    <w:abstractNumId w:val="3"/>
  </w:num>
  <w:num w:numId="50" w16cid:durableId="1678724426">
    <w:abstractNumId w:val="54"/>
  </w:num>
  <w:num w:numId="51" w16cid:durableId="706026020">
    <w:abstractNumId w:val="89"/>
  </w:num>
  <w:num w:numId="52" w16cid:durableId="1279723764">
    <w:abstractNumId w:val="105"/>
  </w:num>
  <w:num w:numId="53" w16cid:durableId="2135438573">
    <w:abstractNumId w:val="57"/>
  </w:num>
  <w:num w:numId="54" w16cid:durableId="411508097">
    <w:abstractNumId w:val="87"/>
  </w:num>
  <w:num w:numId="55" w16cid:durableId="428432261">
    <w:abstractNumId w:val="33"/>
  </w:num>
  <w:num w:numId="56" w16cid:durableId="1203403446">
    <w:abstractNumId w:val="70"/>
  </w:num>
  <w:num w:numId="57" w16cid:durableId="88701301">
    <w:abstractNumId w:val="78"/>
  </w:num>
  <w:num w:numId="58" w16cid:durableId="989553555">
    <w:abstractNumId w:val="92"/>
  </w:num>
  <w:num w:numId="59" w16cid:durableId="1861822506">
    <w:abstractNumId w:val="60"/>
  </w:num>
  <w:num w:numId="60" w16cid:durableId="1439644399">
    <w:abstractNumId w:val="44"/>
  </w:num>
  <w:num w:numId="61" w16cid:durableId="852913924">
    <w:abstractNumId w:val="77"/>
  </w:num>
  <w:num w:numId="62" w16cid:durableId="1074815795">
    <w:abstractNumId w:val="81"/>
  </w:num>
  <w:num w:numId="63" w16cid:durableId="2004778693">
    <w:abstractNumId w:val="10"/>
  </w:num>
  <w:num w:numId="64" w16cid:durableId="1389767587">
    <w:abstractNumId w:val="17"/>
  </w:num>
  <w:num w:numId="65" w16cid:durableId="2081370474">
    <w:abstractNumId w:val="30"/>
  </w:num>
  <w:num w:numId="66" w16cid:durableId="645744934">
    <w:abstractNumId w:val="12"/>
  </w:num>
  <w:num w:numId="67" w16cid:durableId="920211220">
    <w:abstractNumId w:val="20"/>
  </w:num>
  <w:num w:numId="68" w16cid:durableId="706102369">
    <w:abstractNumId w:val="25"/>
  </w:num>
  <w:num w:numId="69" w16cid:durableId="313265434">
    <w:abstractNumId w:val="55"/>
  </w:num>
  <w:num w:numId="70" w16cid:durableId="1808204444">
    <w:abstractNumId w:val="52"/>
  </w:num>
  <w:num w:numId="71" w16cid:durableId="365764330">
    <w:abstractNumId w:val="19"/>
  </w:num>
  <w:num w:numId="72" w16cid:durableId="1906797406">
    <w:abstractNumId w:val="21"/>
  </w:num>
  <w:num w:numId="73" w16cid:durableId="1129973747">
    <w:abstractNumId w:val="93"/>
  </w:num>
  <w:num w:numId="74" w16cid:durableId="1789157711">
    <w:abstractNumId w:val="36"/>
  </w:num>
  <w:num w:numId="75" w16cid:durableId="1527865846">
    <w:abstractNumId w:val="2"/>
  </w:num>
  <w:num w:numId="76" w16cid:durableId="610939009">
    <w:abstractNumId w:val="28"/>
  </w:num>
  <w:num w:numId="77" w16cid:durableId="1136071448">
    <w:abstractNumId w:val="7"/>
  </w:num>
  <w:num w:numId="78" w16cid:durableId="1385955732">
    <w:abstractNumId w:val="103"/>
  </w:num>
  <w:num w:numId="79" w16cid:durableId="454641197">
    <w:abstractNumId w:val="41"/>
  </w:num>
  <w:num w:numId="80" w16cid:durableId="867445492">
    <w:abstractNumId w:val="84"/>
  </w:num>
  <w:num w:numId="81" w16cid:durableId="837034495">
    <w:abstractNumId w:val="4"/>
  </w:num>
  <w:num w:numId="82" w16cid:durableId="909730504">
    <w:abstractNumId w:val="15"/>
  </w:num>
  <w:num w:numId="83" w16cid:durableId="1302031254">
    <w:abstractNumId w:val="64"/>
  </w:num>
  <w:num w:numId="84" w16cid:durableId="1479880417">
    <w:abstractNumId w:val="88"/>
  </w:num>
  <w:num w:numId="85" w16cid:durableId="108400828">
    <w:abstractNumId w:val="82"/>
  </w:num>
  <w:num w:numId="86" w16cid:durableId="961882981">
    <w:abstractNumId w:val="90"/>
  </w:num>
  <w:num w:numId="87" w16cid:durableId="990867889">
    <w:abstractNumId w:val="67"/>
  </w:num>
  <w:num w:numId="88" w16cid:durableId="201358336">
    <w:abstractNumId w:val="13"/>
  </w:num>
  <w:num w:numId="89" w16cid:durableId="720057016">
    <w:abstractNumId w:val="1"/>
  </w:num>
  <w:num w:numId="90" w16cid:durableId="1231312695">
    <w:abstractNumId w:val="8"/>
  </w:num>
  <w:num w:numId="91" w16cid:durableId="1249850365">
    <w:abstractNumId w:val="61"/>
  </w:num>
  <w:num w:numId="92" w16cid:durableId="1472602236">
    <w:abstractNumId w:val="37"/>
  </w:num>
  <w:num w:numId="93" w16cid:durableId="1197423673">
    <w:abstractNumId w:val="63"/>
  </w:num>
  <w:num w:numId="94" w16cid:durableId="1820070221">
    <w:abstractNumId w:val="6"/>
  </w:num>
  <w:num w:numId="95" w16cid:durableId="2081780647">
    <w:abstractNumId w:val="100"/>
  </w:num>
  <w:num w:numId="96" w16cid:durableId="1016422416">
    <w:abstractNumId w:val="71"/>
  </w:num>
  <w:num w:numId="97" w16cid:durableId="1813710808">
    <w:abstractNumId w:val="23"/>
  </w:num>
  <w:num w:numId="98" w16cid:durableId="219023068">
    <w:abstractNumId w:val="43"/>
  </w:num>
  <w:num w:numId="99" w16cid:durableId="1477799625">
    <w:abstractNumId w:val="29"/>
  </w:num>
  <w:num w:numId="100" w16cid:durableId="1704986218">
    <w:abstractNumId w:val="51"/>
  </w:num>
  <w:num w:numId="101" w16cid:durableId="326173178">
    <w:abstractNumId w:val="53"/>
  </w:num>
  <w:num w:numId="102" w16cid:durableId="1552425869">
    <w:abstractNumId w:val="76"/>
  </w:num>
  <w:num w:numId="103" w16cid:durableId="561254561">
    <w:abstractNumId w:val="48"/>
  </w:num>
  <w:num w:numId="104" w16cid:durableId="762142469">
    <w:abstractNumId w:val="18"/>
  </w:num>
  <w:num w:numId="105" w16cid:durableId="1433358155">
    <w:abstractNumId w:val="86"/>
  </w:num>
  <w:num w:numId="106" w16cid:durableId="41486108">
    <w:abstractNumId w:val="2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50"/>
    <w:rsid w:val="0000247B"/>
    <w:rsid w:val="00003CCC"/>
    <w:rsid w:val="0000469B"/>
    <w:rsid w:val="000046CB"/>
    <w:rsid w:val="0000604C"/>
    <w:rsid w:val="00010A1A"/>
    <w:rsid w:val="00010E79"/>
    <w:rsid w:val="00011187"/>
    <w:rsid w:val="0001175D"/>
    <w:rsid w:val="00014424"/>
    <w:rsid w:val="00014E34"/>
    <w:rsid w:val="00025CDA"/>
    <w:rsid w:val="00025EB1"/>
    <w:rsid w:val="00032166"/>
    <w:rsid w:val="000332AE"/>
    <w:rsid w:val="00035FF3"/>
    <w:rsid w:val="000418F0"/>
    <w:rsid w:val="00051021"/>
    <w:rsid w:val="000524F0"/>
    <w:rsid w:val="00052D54"/>
    <w:rsid w:val="000576EB"/>
    <w:rsid w:val="00064B2D"/>
    <w:rsid w:val="00065F1F"/>
    <w:rsid w:val="0006673F"/>
    <w:rsid w:val="000677F6"/>
    <w:rsid w:val="00072792"/>
    <w:rsid w:val="00076D33"/>
    <w:rsid w:val="00076D3B"/>
    <w:rsid w:val="00077859"/>
    <w:rsid w:val="00077AEA"/>
    <w:rsid w:val="00081B0A"/>
    <w:rsid w:val="00081B97"/>
    <w:rsid w:val="00095A22"/>
    <w:rsid w:val="00097FB0"/>
    <w:rsid w:val="000A0E8D"/>
    <w:rsid w:val="000A30A6"/>
    <w:rsid w:val="000A382C"/>
    <w:rsid w:val="000A3D8B"/>
    <w:rsid w:val="000A7805"/>
    <w:rsid w:val="000B417B"/>
    <w:rsid w:val="000B427A"/>
    <w:rsid w:val="000B5454"/>
    <w:rsid w:val="000B6AF2"/>
    <w:rsid w:val="000B7791"/>
    <w:rsid w:val="000C4BD7"/>
    <w:rsid w:val="000C7717"/>
    <w:rsid w:val="000D02A2"/>
    <w:rsid w:val="000D049A"/>
    <w:rsid w:val="000D31D2"/>
    <w:rsid w:val="000D5652"/>
    <w:rsid w:val="000D6FD4"/>
    <w:rsid w:val="000D7B1C"/>
    <w:rsid w:val="000E0AE4"/>
    <w:rsid w:val="000E1EA4"/>
    <w:rsid w:val="000E3DBC"/>
    <w:rsid w:val="000E4263"/>
    <w:rsid w:val="000E662F"/>
    <w:rsid w:val="000E6C19"/>
    <w:rsid w:val="000F2049"/>
    <w:rsid w:val="000F3CFE"/>
    <w:rsid w:val="000F5576"/>
    <w:rsid w:val="000F6568"/>
    <w:rsid w:val="00101D97"/>
    <w:rsid w:val="001027B9"/>
    <w:rsid w:val="00102819"/>
    <w:rsid w:val="00104544"/>
    <w:rsid w:val="00104EB3"/>
    <w:rsid w:val="0010576D"/>
    <w:rsid w:val="0010778D"/>
    <w:rsid w:val="00111F83"/>
    <w:rsid w:val="001122EC"/>
    <w:rsid w:val="00117BBF"/>
    <w:rsid w:val="0012388D"/>
    <w:rsid w:val="001309F9"/>
    <w:rsid w:val="00136B57"/>
    <w:rsid w:val="00143E62"/>
    <w:rsid w:val="001447F2"/>
    <w:rsid w:val="00146358"/>
    <w:rsid w:val="00150B54"/>
    <w:rsid w:val="0015187A"/>
    <w:rsid w:val="00152C07"/>
    <w:rsid w:val="00157093"/>
    <w:rsid w:val="001574A1"/>
    <w:rsid w:val="0016035F"/>
    <w:rsid w:val="0016056E"/>
    <w:rsid w:val="001664BD"/>
    <w:rsid w:val="0017240C"/>
    <w:rsid w:val="001763F4"/>
    <w:rsid w:val="00180DE0"/>
    <w:rsid w:val="00181688"/>
    <w:rsid w:val="001824E0"/>
    <w:rsid w:val="00182C4C"/>
    <w:rsid w:val="001864C6"/>
    <w:rsid w:val="0018652E"/>
    <w:rsid w:val="001878C5"/>
    <w:rsid w:val="001902FF"/>
    <w:rsid w:val="00191F1B"/>
    <w:rsid w:val="0019399D"/>
    <w:rsid w:val="00195180"/>
    <w:rsid w:val="00197D8D"/>
    <w:rsid w:val="001A1A75"/>
    <w:rsid w:val="001A3902"/>
    <w:rsid w:val="001A445B"/>
    <w:rsid w:val="001A4546"/>
    <w:rsid w:val="001A7E9A"/>
    <w:rsid w:val="001B20D8"/>
    <w:rsid w:val="001B4D0A"/>
    <w:rsid w:val="001C27A3"/>
    <w:rsid w:val="001C40FF"/>
    <w:rsid w:val="001C7BD2"/>
    <w:rsid w:val="001D43F6"/>
    <w:rsid w:val="001E09FA"/>
    <w:rsid w:val="001E7C04"/>
    <w:rsid w:val="001F28A0"/>
    <w:rsid w:val="001F7F63"/>
    <w:rsid w:val="00202A6F"/>
    <w:rsid w:val="00204A31"/>
    <w:rsid w:val="00204D97"/>
    <w:rsid w:val="00212A85"/>
    <w:rsid w:val="00215FB3"/>
    <w:rsid w:val="00217CAC"/>
    <w:rsid w:val="0022197C"/>
    <w:rsid w:val="00221D07"/>
    <w:rsid w:val="0022403F"/>
    <w:rsid w:val="00224E3B"/>
    <w:rsid w:val="00227DC2"/>
    <w:rsid w:val="00227E4A"/>
    <w:rsid w:val="00233422"/>
    <w:rsid w:val="0023744B"/>
    <w:rsid w:val="002421C1"/>
    <w:rsid w:val="00242E38"/>
    <w:rsid w:val="0024700D"/>
    <w:rsid w:val="00250197"/>
    <w:rsid w:val="0025246D"/>
    <w:rsid w:val="00253DA3"/>
    <w:rsid w:val="00260B5D"/>
    <w:rsid w:val="0026387E"/>
    <w:rsid w:val="00266CCA"/>
    <w:rsid w:val="002671C0"/>
    <w:rsid w:val="00271462"/>
    <w:rsid w:val="002739F9"/>
    <w:rsid w:val="002758A0"/>
    <w:rsid w:val="00280892"/>
    <w:rsid w:val="00281162"/>
    <w:rsid w:val="002869F3"/>
    <w:rsid w:val="00291967"/>
    <w:rsid w:val="0029204E"/>
    <w:rsid w:val="00292B9B"/>
    <w:rsid w:val="00293B14"/>
    <w:rsid w:val="00294947"/>
    <w:rsid w:val="002A0194"/>
    <w:rsid w:val="002A5F8B"/>
    <w:rsid w:val="002A7F6C"/>
    <w:rsid w:val="002B0071"/>
    <w:rsid w:val="002B1769"/>
    <w:rsid w:val="002B62CF"/>
    <w:rsid w:val="002C1A3B"/>
    <w:rsid w:val="002C37E8"/>
    <w:rsid w:val="002C4F27"/>
    <w:rsid w:val="002C51E0"/>
    <w:rsid w:val="002C7827"/>
    <w:rsid w:val="002D4AF2"/>
    <w:rsid w:val="002D5170"/>
    <w:rsid w:val="002E05F4"/>
    <w:rsid w:val="002E16D5"/>
    <w:rsid w:val="002E1820"/>
    <w:rsid w:val="002E3533"/>
    <w:rsid w:val="002E7A54"/>
    <w:rsid w:val="002F104E"/>
    <w:rsid w:val="002F35EA"/>
    <w:rsid w:val="002F6488"/>
    <w:rsid w:val="00301253"/>
    <w:rsid w:val="00305C54"/>
    <w:rsid w:val="0031016C"/>
    <w:rsid w:val="0031346D"/>
    <w:rsid w:val="0031426B"/>
    <w:rsid w:val="00317507"/>
    <w:rsid w:val="0032002D"/>
    <w:rsid w:val="003213F9"/>
    <w:rsid w:val="00323AB6"/>
    <w:rsid w:val="00323DBF"/>
    <w:rsid w:val="00327867"/>
    <w:rsid w:val="00332B12"/>
    <w:rsid w:val="00335215"/>
    <w:rsid w:val="003366BF"/>
    <w:rsid w:val="00336CDC"/>
    <w:rsid w:val="00337A02"/>
    <w:rsid w:val="00337CBC"/>
    <w:rsid w:val="00340148"/>
    <w:rsid w:val="003424CE"/>
    <w:rsid w:val="003428FC"/>
    <w:rsid w:val="0034464C"/>
    <w:rsid w:val="00344936"/>
    <w:rsid w:val="00346622"/>
    <w:rsid w:val="003475F7"/>
    <w:rsid w:val="003507DB"/>
    <w:rsid w:val="00351B07"/>
    <w:rsid w:val="003560D0"/>
    <w:rsid w:val="0036533D"/>
    <w:rsid w:val="00367FCD"/>
    <w:rsid w:val="0037014C"/>
    <w:rsid w:val="00370FB8"/>
    <w:rsid w:val="00370FF0"/>
    <w:rsid w:val="00371B29"/>
    <w:rsid w:val="00372D0A"/>
    <w:rsid w:val="00373285"/>
    <w:rsid w:val="003766F8"/>
    <w:rsid w:val="00380106"/>
    <w:rsid w:val="003814F0"/>
    <w:rsid w:val="00381B88"/>
    <w:rsid w:val="00381DDF"/>
    <w:rsid w:val="00381E07"/>
    <w:rsid w:val="003837BA"/>
    <w:rsid w:val="00384880"/>
    <w:rsid w:val="00385788"/>
    <w:rsid w:val="00391769"/>
    <w:rsid w:val="00391A37"/>
    <w:rsid w:val="003953E1"/>
    <w:rsid w:val="003956B3"/>
    <w:rsid w:val="00395D77"/>
    <w:rsid w:val="003A0A4D"/>
    <w:rsid w:val="003A3D30"/>
    <w:rsid w:val="003A458A"/>
    <w:rsid w:val="003A525B"/>
    <w:rsid w:val="003A68BE"/>
    <w:rsid w:val="003A743E"/>
    <w:rsid w:val="003A7B84"/>
    <w:rsid w:val="003B2774"/>
    <w:rsid w:val="003C41B8"/>
    <w:rsid w:val="003C429C"/>
    <w:rsid w:val="003C4969"/>
    <w:rsid w:val="003C69AA"/>
    <w:rsid w:val="003C75C6"/>
    <w:rsid w:val="003D2CDC"/>
    <w:rsid w:val="003E08B4"/>
    <w:rsid w:val="003E12CF"/>
    <w:rsid w:val="003E41D5"/>
    <w:rsid w:val="003E46BA"/>
    <w:rsid w:val="003E676F"/>
    <w:rsid w:val="003F49F8"/>
    <w:rsid w:val="003F74C1"/>
    <w:rsid w:val="00401ADE"/>
    <w:rsid w:val="00402F97"/>
    <w:rsid w:val="00405B1A"/>
    <w:rsid w:val="00410C76"/>
    <w:rsid w:val="00411907"/>
    <w:rsid w:val="00414BDE"/>
    <w:rsid w:val="00417EE3"/>
    <w:rsid w:val="004207EB"/>
    <w:rsid w:val="00421730"/>
    <w:rsid w:val="00422EC9"/>
    <w:rsid w:val="0042357F"/>
    <w:rsid w:val="00423AC7"/>
    <w:rsid w:val="00424454"/>
    <w:rsid w:val="00427C32"/>
    <w:rsid w:val="00427F04"/>
    <w:rsid w:val="00430CA7"/>
    <w:rsid w:val="00432A42"/>
    <w:rsid w:val="00437276"/>
    <w:rsid w:val="0044027B"/>
    <w:rsid w:val="00442F15"/>
    <w:rsid w:val="00453646"/>
    <w:rsid w:val="00456B54"/>
    <w:rsid w:val="00456BD5"/>
    <w:rsid w:val="00463D67"/>
    <w:rsid w:val="00464643"/>
    <w:rsid w:val="004671D4"/>
    <w:rsid w:val="00475DA6"/>
    <w:rsid w:val="0047679E"/>
    <w:rsid w:val="00486793"/>
    <w:rsid w:val="00486C66"/>
    <w:rsid w:val="004878C1"/>
    <w:rsid w:val="00491437"/>
    <w:rsid w:val="00494A3F"/>
    <w:rsid w:val="004A0452"/>
    <w:rsid w:val="004A0FE0"/>
    <w:rsid w:val="004A2037"/>
    <w:rsid w:val="004A5588"/>
    <w:rsid w:val="004A793C"/>
    <w:rsid w:val="004B047B"/>
    <w:rsid w:val="004B1D7E"/>
    <w:rsid w:val="004B4CDC"/>
    <w:rsid w:val="004B4DBE"/>
    <w:rsid w:val="004B6C70"/>
    <w:rsid w:val="004C52C2"/>
    <w:rsid w:val="004D121E"/>
    <w:rsid w:val="004D1B1C"/>
    <w:rsid w:val="004D26C5"/>
    <w:rsid w:val="004D51AD"/>
    <w:rsid w:val="004F36C6"/>
    <w:rsid w:val="004F4F98"/>
    <w:rsid w:val="004F69F6"/>
    <w:rsid w:val="004F79AC"/>
    <w:rsid w:val="0050046D"/>
    <w:rsid w:val="00506E9B"/>
    <w:rsid w:val="005078BE"/>
    <w:rsid w:val="005207D8"/>
    <w:rsid w:val="0052310C"/>
    <w:rsid w:val="00523930"/>
    <w:rsid w:val="005244F1"/>
    <w:rsid w:val="00524AE2"/>
    <w:rsid w:val="00537CDC"/>
    <w:rsid w:val="005401A6"/>
    <w:rsid w:val="005473B5"/>
    <w:rsid w:val="00547AE9"/>
    <w:rsid w:val="00550B72"/>
    <w:rsid w:val="00551B39"/>
    <w:rsid w:val="00551F5D"/>
    <w:rsid w:val="00552670"/>
    <w:rsid w:val="00560185"/>
    <w:rsid w:val="00562917"/>
    <w:rsid w:val="00571B8C"/>
    <w:rsid w:val="00574F1C"/>
    <w:rsid w:val="00576B36"/>
    <w:rsid w:val="00580DDF"/>
    <w:rsid w:val="005811B7"/>
    <w:rsid w:val="00582EC1"/>
    <w:rsid w:val="00583F7A"/>
    <w:rsid w:val="0058558E"/>
    <w:rsid w:val="00586228"/>
    <w:rsid w:val="0059290D"/>
    <w:rsid w:val="005946D3"/>
    <w:rsid w:val="00595CBB"/>
    <w:rsid w:val="00597631"/>
    <w:rsid w:val="005979DD"/>
    <w:rsid w:val="005A35FD"/>
    <w:rsid w:val="005A572E"/>
    <w:rsid w:val="005B084E"/>
    <w:rsid w:val="005B0D9A"/>
    <w:rsid w:val="005B1D89"/>
    <w:rsid w:val="005B6AF4"/>
    <w:rsid w:val="005B7115"/>
    <w:rsid w:val="005C04CB"/>
    <w:rsid w:val="005C14C3"/>
    <w:rsid w:val="005C7A9C"/>
    <w:rsid w:val="005C7ECF"/>
    <w:rsid w:val="005D16AD"/>
    <w:rsid w:val="005D2016"/>
    <w:rsid w:val="005D607A"/>
    <w:rsid w:val="005D72E1"/>
    <w:rsid w:val="005E06C0"/>
    <w:rsid w:val="005E07CB"/>
    <w:rsid w:val="005E10AA"/>
    <w:rsid w:val="005E1ACF"/>
    <w:rsid w:val="005E58D3"/>
    <w:rsid w:val="005E6A98"/>
    <w:rsid w:val="005E6E16"/>
    <w:rsid w:val="005F400E"/>
    <w:rsid w:val="005F4B63"/>
    <w:rsid w:val="005F6755"/>
    <w:rsid w:val="005F7342"/>
    <w:rsid w:val="006066D8"/>
    <w:rsid w:val="00610A3C"/>
    <w:rsid w:val="006116DC"/>
    <w:rsid w:val="006138D7"/>
    <w:rsid w:val="00614475"/>
    <w:rsid w:val="00614506"/>
    <w:rsid w:val="00614A08"/>
    <w:rsid w:val="00614AF5"/>
    <w:rsid w:val="00615E83"/>
    <w:rsid w:val="00616017"/>
    <w:rsid w:val="006178BC"/>
    <w:rsid w:val="00624E43"/>
    <w:rsid w:val="00625D96"/>
    <w:rsid w:val="006261DD"/>
    <w:rsid w:val="00627B9A"/>
    <w:rsid w:val="00627F48"/>
    <w:rsid w:val="0063455F"/>
    <w:rsid w:val="00635814"/>
    <w:rsid w:val="00635F96"/>
    <w:rsid w:val="006360F7"/>
    <w:rsid w:val="00643567"/>
    <w:rsid w:val="0065399C"/>
    <w:rsid w:val="0065461D"/>
    <w:rsid w:val="006552E0"/>
    <w:rsid w:val="00662E44"/>
    <w:rsid w:val="00663FCF"/>
    <w:rsid w:val="006652A2"/>
    <w:rsid w:val="006707EC"/>
    <w:rsid w:val="00672336"/>
    <w:rsid w:val="006813E9"/>
    <w:rsid w:val="00683071"/>
    <w:rsid w:val="00692490"/>
    <w:rsid w:val="00692C9C"/>
    <w:rsid w:val="00693E2F"/>
    <w:rsid w:val="00695B46"/>
    <w:rsid w:val="00695F47"/>
    <w:rsid w:val="006969CC"/>
    <w:rsid w:val="00696A15"/>
    <w:rsid w:val="006A0BA3"/>
    <w:rsid w:val="006A48A7"/>
    <w:rsid w:val="006A5D40"/>
    <w:rsid w:val="006B11F0"/>
    <w:rsid w:val="006B5A79"/>
    <w:rsid w:val="006B6EB5"/>
    <w:rsid w:val="006B71A8"/>
    <w:rsid w:val="006C116D"/>
    <w:rsid w:val="006C22A7"/>
    <w:rsid w:val="006C5905"/>
    <w:rsid w:val="006C5CF5"/>
    <w:rsid w:val="006D33FF"/>
    <w:rsid w:val="006D619E"/>
    <w:rsid w:val="006E10A1"/>
    <w:rsid w:val="006E77ED"/>
    <w:rsid w:val="006E798B"/>
    <w:rsid w:val="006E7F3D"/>
    <w:rsid w:val="006F11CE"/>
    <w:rsid w:val="006F4A82"/>
    <w:rsid w:val="006F4BB3"/>
    <w:rsid w:val="006F63BF"/>
    <w:rsid w:val="00701C42"/>
    <w:rsid w:val="007052A8"/>
    <w:rsid w:val="00705CE8"/>
    <w:rsid w:val="00706F8E"/>
    <w:rsid w:val="00710C37"/>
    <w:rsid w:val="00711A87"/>
    <w:rsid w:val="0072090D"/>
    <w:rsid w:val="00724283"/>
    <w:rsid w:val="00724FA4"/>
    <w:rsid w:val="0072761C"/>
    <w:rsid w:val="00730800"/>
    <w:rsid w:val="00731A36"/>
    <w:rsid w:val="0074082E"/>
    <w:rsid w:val="007473BD"/>
    <w:rsid w:val="00755F02"/>
    <w:rsid w:val="007602AA"/>
    <w:rsid w:val="0076368A"/>
    <w:rsid w:val="0076382D"/>
    <w:rsid w:val="007652EF"/>
    <w:rsid w:val="00765DE1"/>
    <w:rsid w:val="00766A84"/>
    <w:rsid w:val="00772BDC"/>
    <w:rsid w:val="0077356B"/>
    <w:rsid w:val="00776E0B"/>
    <w:rsid w:val="00777437"/>
    <w:rsid w:val="007776B4"/>
    <w:rsid w:val="00780792"/>
    <w:rsid w:val="00781A8B"/>
    <w:rsid w:val="00782E77"/>
    <w:rsid w:val="0078309E"/>
    <w:rsid w:val="0078337E"/>
    <w:rsid w:val="00787C57"/>
    <w:rsid w:val="0079530B"/>
    <w:rsid w:val="00795BAF"/>
    <w:rsid w:val="00795D86"/>
    <w:rsid w:val="007A40CB"/>
    <w:rsid w:val="007A44B4"/>
    <w:rsid w:val="007A53BF"/>
    <w:rsid w:val="007A7D3D"/>
    <w:rsid w:val="007B225D"/>
    <w:rsid w:val="007B29FF"/>
    <w:rsid w:val="007B37B3"/>
    <w:rsid w:val="007B7EAC"/>
    <w:rsid w:val="007C01C0"/>
    <w:rsid w:val="007C1C64"/>
    <w:rsid w:val="007C22CB"/>
    <w:rsid w:val="007C4F6B"/>
    <w:rsid w:val="007C5C73"/>
    <w:rsid w:val="007C65E1"/>
    <w:rsid w:val="007D0189"/>
    <w:rsid w:val="007D0523"/>
    <w:rsid w:val="007D0EC7"/>
    <w:rsid w:val="007D17AF"/>
    <w:rsid w:val="007D4AC6"/>
    <w:rsid w:val="007E2728"/>
    <w:rsid w:val="007E4500"/>
    <w:rsid w:val="007E48BC"/>
    <w:rsid w:val="007E57F5"/>
    <w:rsid w:val="007E79F7"/>
    <w:rsid w:val="007F136C"/>
    <w:rsid w:val="007F3630"/>
    <w:rsid w:val="007F4673"/>
    <w:rsid w:val="007F46B3"/>
    <w:rsid w:val="007F7BF7"/>
    <w:rsid w:val="00802D2B"/>
    <w:rsid w:val="0080443F"/>
    <w:rsid w:val="00807559"/>
    <w:rsid w:val="0081042E"/>
    <w:rsid w:val="0081102A"/>
    <w:rsid w:val="00813035"/>
    <w:rsid w:val="00813464"/>
    <w:rsid w:val="0081383A"/>
    <w:rsid w:val="0081747A"/>
    <w:rsid w:val="00827217"/>
    <w:rsid w:val="00831154"/>
    <w:rsid w:val="00833E0B"/>
    <w:rsid w:val="008347C9"/>
    <w:rsid w:val="00835B22"/>
    <w:rsid w:val="00842F38"/>
    <w:rsid w:val="00843BC2"/>
    <w:rsid w:val="00844B2B"/>
    <w:rsid w:val="008450BC"/>
    <w:rsid w:val="00847066"/>
    <w:rsid w:val="00850B09"/>
    <w:rsid w:val="00852286"/>
    <w:rsid w:val="00852BC2"/>
    <w:rsid w:val="0085334B"/>
    <w:rsid w:val="008537BA"/>
    <w:rsid w:val="00855A32"/>
    <w:rsid w:val="00856712"/>
    <w:rsid w:val="00860808"/>
    <w:rsid w:val="00861447"/>
    <w:rsid w:val="00861C13"/>
    <w:rsid w:val="00862349"/>
    <w:rsid w:val="0086571E"/>
    <w:rsid w:val="00870214"/>
    <w:rsid w:val="00870909"/>
    <w:rsid w:val="00871116"/>
    <w:rsid w:val="0087500B"/>
    <w:rsid w:val="00880EF3"/>
    <w:rsid w:val="00883203"/>
    <w:rsid w:val="008846C8"/>
    <w:rsid w:val="00885C51"/>
    <w:rsid w:val="00894D7B"/>
    <w:rsid w:val="008962CE"/>
    <w:rsid w:val="00896B85"/>
    <w:rsid w:val="008A243D"/>
    <w:rsid w:val="008A635D"/>
    <w:rsid w:val="008B1699"/>
    <w:rsid w:val="008B5ADF"/>
    <w:rsid w:val="008B6B1A"/>
    <w:rsid w:val="008C2EA6"/>
    <w:rsid w:val="008C3E07"/>
    <w:rsid w:val="008C4E76"/>
    <w:rsid w:val="008C7C0F"/>
    <w:rsid w:val="008D003A"/>
    <w:rsid w:val="008D00F2"/>
    <w:rsid w:val="008D06C6"/>
    <w:rsid w:val="008D11D1"/>
    <w:rsid w:val="008D3E3F"/>
    <w:rsid w:val="008D4346"/>
    <w:rsid w:val="008D45DA"/>
    <w:rsid w:val="008D5E9D"/>
    <w:rsid w:val="008E283D"/>
    <w:rsid w:val="008E432C"/>
    <w:rsid w:val="008E6250"/>
    <w:rsid w:val="008E62FD"/>
    <w:rsid w:val="0090635C"/>
    <w:rsid w:val="00913033"/>
    <w:rsid w:val="00917C6F"/>
    <w:rsid w:val="00920249"/>
    <w:rsid w:val="00922FB8"/>
    <w:rsid w:val="0092322A"/>
    <w:rsid w:val="009279F5"/>
    <w:rsid w:val="009302BC"/>
    <w:rsid w:val="00932F14"/>
    <w:rsid w:val="00937D53"/>
    <w:rsid w:val="00941144"/>
    <w:rsid w:val="00941150"/>
    <w:rsid w:val="0094172D"/>
    <w:rsid w:val="0094247F"/>
    <w:rsid w:val="00942D60"/>
    <w:rsid w:val="0094358A"/>
    <w:rsid w:val="009460FA"/>
    <w:rsid w:val="00947172"/>
    <w:rsid w:val="00947534"/>
    <w:rsid w:val="009478A1"/>
    <w:rsid w:val="009640F1"/>
    <w:rsid w:val="0096523B"/>
    <w:rsid w:val="0096592A"/>
    <w:rsid w:val="00966602"/>
    <w:rsid w:val="00966EBA"/>
    <w:rsid w:val="009711E0"/>
    <w:rsid w:val="00972D06"/>
    <w:rsid w:val="009755E4"/>
    <w:rsid w:val="009820AA"/>
    <w:rsid w:val="0099323D"/>
    <w:rsid w:val="00993FC2"/>
    <w:rsid w:val="0099623A"/>
    <w:rsid w:val="009A2699"/>
    <w:rsid w:val="009A2DC9"/>
    <w:rsid w:val="009A3796"/>
    <w:rsid w:val="009A3844"/>
    <w:rsid w:val="009A391C"/>
    <w:rsid w:val="009A5CE2"/>
    <w:rsid w:val="009B24A7"/>
    <w:rsid w:val="009B493B"/>
    <w:rsid w:val="009B6C58"/>
    <w:rsid w:val="009B73F6"/>
    <w:rsid w:val="009D0206"/>
    <w:rsid w:val="009E0A61"/>
    <w:rsid w:val="009E0D52"/>
    <w:rsid w:val="009E19B6"/>
    <w:rsid w:val="009E3010"/>
    <w:rsid w:val="009E46F5"/>
    <w:rsid w:val="009E57A2"/>
    <w:rsid w:val="009F016A"/>
    <w:rsid w:val="009F310B"/>
    <w:rsid w:val="009F6BF9"/>
    <w:rsid w:val="009F7065"/>
    <w:rsid w:val="009F72D6"/>
    <w:rsid w:val="00A07AA0"/>
    <w:rsid w:val="00A10151"/>
    <w:rsid w:val="00A21410"/>
    <w:rsid w:val="00A2312A"/>
    <w:rsid w:val="00A2449C"/>
    <w:rsid w:val="00A24BBB"/>
    <w:rsid w:val="00A318EB"/>
    <w:rsid w:val="00A32036"/>
    <w:rsid w:val="00A33CCA"/>
    <w:rsid w:val="00A4273A"/>
    <w:rsid w:val="00A461B2"/>
    <w:rsid w:val="00A46529"/>
    <w:rsid w:val="00A47FE3"/>
    <w:rsid w:val="00A5127A"/>
    <w:rsid w:val="00A551B9"/>
    <w:rsid w:val="00A56DC7"/>
    <w:rsid w:val="00A644F1"/>
    <w:rsid w:val="00A64761"/>
    <w:rsid w:val="00A66FDD"/>
    <w:rsid w:val="00A671E6"/>
    <w:rsid w:val="00A709E5"/>
    <w:rsid w:val="00A74FD1"/>
    <w:rsid w:val="00A759FD"/>
    <w:rsid w:val="00A75D2E"/>
    <w:rsid w:val="00A80795"/>
    <w:rsid w:val="00A84A58"/>
    <w:rsid w:val="00A8610A"/>
    <w:rsid w:val="00A929A9"/>
    <w:rsid w:val="00A94813"/>
    <w:rsid w:val="00A96594"/>
    <w:rsid w:val="00AA05EC"/>
    <w:rsid w:val="00AA41BA"/>
    <w:rsid w:val="00AA6D0D"/>
    <w:rsid w:val="00AA6FA3"/>
    <w:rsid w:val="00AAF5A1"/>
    <w:rsid w:val="00AB1120"/>
    <w:rsid w:val="00AB7DFE"/>
    <w:rsid w:val="00AC16F3"/>
    <w:rsid w:val="00AC428E"/>
    <w:rsid w:val="00AC6958"/>
    <w:rsid w:val="00AD344F"/>
    <w:rsid w:val="00AE384D"/>
    <w:rsid w:val="00AE38EB"/>
    <w:rsid w:val="00AE4FFD"/>
    <w:rsid w:val="00AE768B"/>
    <w:rsid w:val="00AF1008"/>
    <w:rsid w:val="00AF24FA"/>
    <w:rsid w:val="00AF387F"/>
    <w:rsid w:val="00AF397D"/>
    <w:rsid w:val="00AF762E"/>
    <w:rsid w:val="00B00E7F"/>
    <w:rsid w:val="00B02746"/>
    <w:rsid w:val="00B12F37"/>
    <w:rsid w:val="00B17112"/>
    <w:rsid w:val="00B21055"/>
    <w:rsid w:val="00B21ACB"/>
    <w:rsid w:val="00B21DCC"/>
    <w:rsid w:val="00B23A93"/>
    <w:rsid w:val="00B25F37"/>
    <w:rsid w:val="00B31E62"/>
    <w:rsid w:val="00B37158"/>
    <w:rsid w:val="00B37206"/>
    <w:rsid w:val="00B37689"/>
    <w:rsid w:val="00B425AA"/>
    <w:rsid w:val="00B42EBA"/>
    <w:rsid w:val="00B42F35"/>
    <w:rsid w:val="00B44422"/>
    <w:rsid w:val="00B44545"/>
    <w:rsid w:val="00B45E2C"/>
    <w:rsid w:val="00B46EA0"/>
    <w:rsid w:val="00B51AA5"/>
    <w:rsid w:val="00B52B60"/>
    <w:rsid w:val="00B55714"/>
    <w:rsid w:val="00B57F5A"/>
    <w:rsid w:val="00B60AA2"/>
    <w:rsid w:val="00B61BE2"/>
    <w:rsid w:val="00B63BBA"/>
    <w:rsid w:val="00B66010"/>
    <w:rsid w:val="00B667E8"/>
    <w:rsid w:val="00B67B69"/>
    <w:rsid w:val="00B731D3"/>
    <w:rsid w:val="00B75A78"/>
    <w:rsid w:val="00B75B57"/>
    <w:rsid w:val="00B75EBF"/>
    <w:rsid w:val="00B77C18"/>
    <w:rsid w:val="00B811B3"/>
    <w:rsid w:val="00B839A3"/>
    <w:rsid w:val="00B86CDE"/>
    <w:rsid w:val="00B902BD"/>
    <w:rsid w:val="00B92501"/>
    <w:rsid w:val="00B95550"/>
    <w:rsid w:val="00B95762"/>
    <w:rsid w:val="00BA1009"/>
    <w:rsid w:val="00BA403F"/>
    <w:rsid w:val="00BB0EC9"/>
    <w:rsid w:val="00BB4E66"/>
    <w:rsid w:val="00BB629B"/>
    <w:rsid w:val="00BC4E05"/>
    <w:rsid w:val="00BC4FDB"/>
    <w:rsid w:val="00BD00E2"/>
    <w:rsid w:val="00BD2A39"/>
    <w:rsid w:val="00BD2E80"/>
    <w:rsid w:val="00BD3F7E"/>
    <w:rsid w:val="00BD49FF"/>
    <w:rsid w:val="00BD4B64"/>
    <w:rsid w:val="00BD6B7F"/>
    <w:rsid w:val="00BD77E1"/>
    <w:rsid w:val="00BE11B8"/>
    <w:rsid w:val="00BE1DD3"/>
    <w:rsid w:val="00BE6BE8"/>
    <w:rsid w:val="00BF45A3"/>
    <w:rsid w:val="00BF5988"/>
    <w:rsid w:val="00BF7FF0"/>
    <w:rsid w:val="00C11AEA"/>
    <w:rsid w:val="00C12502"/>
    <w:rsid w:val="00C15CA9"/>
    <w:rsid w:val="00C1642A"/>
    <w:rsid w:val="00C23067"/>
    <w:rsid w:val="00C26B3B"/>
    <w:rsid w:val="00C305B2"/>
    <w:rsid w:val="00C30971"/>
    <w:rsid w:val="00C37577"/>
    <w:rsid w:val="00C40AA5"/>
    <w:rsid w:val="00C434C8"/>
    <w:rsid w:val="00C44A3E"/>
    <w:rsid w:val="00C46F70"/>
    <w:rsid w:val="00C476D0"/>
    <w:rsid w:val="00C5293A"/>
    <w:rsid w:val="00C6434A"/>
    <w:rsid w:val="00C64555"/>
    <w:rsid w:val="00C64BA1"/>
    <w:rsid w:val="00C74398"/>
    <w:rsid w:val="00C830B9"/>
    <w:rsid w:val="00C836E3"/>
    <w:rsid w:val="00C836FF"/>
    <w:rsid w:val="00C854DC"/>
    <w:rsid w:val="00C86577"/>
    <w:rsid w:val="00C9062E"/>
    <w:rsid w:val="00C91C02"/>
    <w:rsid w:val="00C92E07"/>
    <w:rsid w:val="00C941CB"/>
    <w:rsid w:val="00C96868"/>
    <w:rsid w:val="00CA0416"/>
    <w:rsid w:val="00CA273A"/>
    <w:rsid w:val="00CA4A97"/>
    <w:rsid w:val="00CA5734"/>
    <w:rsid w:val="00CB115C"/>
    <w:rsid w:val="00CB3250"/>
    <w:rsid w:val="00CB7716"/>
    <w:rsid w:val="00CC044F"/>
    <w:rsid w:val="00CC3764"/>
    <w:rsid w:val="00CC3A35"/>
    <w:rsid w:val="00CC5468"/>
    <w:rsid w:val="00CC560B"/>
    <w:rsid w:val="00CC6575"/>
    <w:rsid w:val="00CC75E2"/>
    <w:rsid w:val="00CD3835"/>
    <w:rsid w:val="00CD46EB"/>
    <w:rsid w:val="00CD60C4"/>
    <w:rsid w:val="00CD60FD"/>
    <w:rsid w:val="00CD7EBF"/>
    <w:rsid w:val="00CE29A3"/>
    <w:rsid w:val="00CE3DD3"/>
    <w:rsid w:val="00CE59AA"/>
    <w:rsid w:val="00CF0E86"/>
    <w:rsid w:val="00CF136E"/>
    <w:rsid w:val="00CF2FC9"/>
    <w:rsid w:val="00CF6D00"/>
    <w:rsid w:val="00D00DD1"/>
    <w:rsid w:val="00D00DFA"/>
    <w:rsid w:val="00D038BF"/>
    <w:rsid w:val="00D056F1"/>
    <w:rsid w:val="00D06616"/>
    <w:rsid w:val="00D144D7"/>
    <w:rsid w:val="00D145DF"/>
    <w:rsid w:val="00D14EFB"/>
    <w:rsid w:val="00D15A08"/>
    <w:rsid w:val="00D23DB6"/>
    <w:rsid w:val="00D272D0"/>
    <w:rsid w:val="00D3401D"/>
    <w:rsid w:val="00D349E5"/>
    <w:rsid w:val="00D42B5D"/>
    <w:rsid w:val="00D43E48"/>
    <w:rsid w:val="00D458B6"/>
    <w:rsid w:val="00D50467"/>
    <w:rsid w:val="00D516D4"/>
    <w:rsid w:val="00D51A95"/>
    <w:rsid w:val="00D557D1"/>
    <w:rsid w:val="00D60568"/>
    <w:rsid w:val="00D70C7A"/>
    <w:rsid w:val="00D70EC3"/>
    <w:rsid w:val="00D71237"/>
    <w:rsid w:val="00D72A29"/>
    <w:rsid w:val="00D757C2"/>
    <w:rsid w:val="00D75821"/>
    <w:rsid w:val="00D762C6"/>
    <w:rsid w:val="00D772F5"/>
    <w:rsid w:val="00D82D44"/>
    <w:rsid w:val="00D83186"/>
    <w:rsid w:val="00D834E5"/>
    <w:rsid w:val="00D836C9"/>
    <w:rsid w:val="00D854DF"/>
    <w:rsid w:val="00D92109"/>
    <w:rsid w:val="00D958AB"/>
    <w:rsid w:val="00D96C9C"/>
    <w:rsid w:val="00D97584"/>
    <w:rsid w:val="00DA1025"/>
    <w:rsid w:val="00DA10A8"/>
    <w:rsid w:val="00DA36A0"/>
    <w:rsid w:val="00DA4C37"/>
    <w:rsid w:val="00DA5DD7"/>
    <w:rsid w:val="00DB123A"/>
    <w:rsid w:val="00DB1E08"/>
    <w:rsid w:val="00DB2973"/>
    <w:rsid w:val="00DC0FBA"/>
    <w:rsid w:val="00DC14FC"/>
    <w:rsid w:val="00DC1B56"/>
    <w:rsid w:val="00DC20CC"/>
    <w:rsid w:val="00DC2129"/>
    <w:rsid w:val="00DC2B75"/>
    <w:rsid w:val="00DC2CEA"/>
    <w:rsid w:val="00DC440D"/>
    <w:rsid w:val="00DC6570"/>
    <w:rsid w:val="00DD0A69"/>
    <w:rsid w:val="00DD265C"/>
    <w:rsid w:val="00DD3703"/>
    <w:rsid w:val="00DD6A29"/>
    <w:rsid w:val="00DE0E16"/>
    <w:rsid w:val="00DE5528"/>
    <w:rsid w:val="00DF25C3"/>
    <w:rsid w:val="00DF5CFF"/>
    <w:rsid w:val="00DF72BB"/>
    <w:rsid w:val="00E01585"/>
    <w:rsid w:val="00E04062"/>
    <w:rsid w:val="00E063C6"/>
    <w:rsid w:val="00E135C9"/>
    <w:rsid w:val="00E2003B"/>
    <w:rsid w:val="00E25DB5"/>
    <w:rsid w:val="00E26887"/>
    <w:rsid w:val="00E279D8"/>
    <w:rsid w:val="00E27D15"/>
    <w:rsid w:val="00E30092"/>
    <w:rsid w:val="00E319B1"/>
    <w:rsid w:val="00E32625"/>
    <w:rsid w:val="00E326E4"/>
    <w:rsid w:val="00E327A6"/>
    <w:rsid w:val="00E36269"/>
    <w:rsid w:val="00E3684F"/>
    <w:rsid w:val="00E37687"/>
    <w:rsid w:val="00E4136E"/>
    <w:rsid w:val="00E420E5"/>
    <w:rsid w:val="00E47D3B"/>
    <w:rsid w:val="00E5247F"/>
    <w:rsid w:val="00E52D1A"/>
    <w:rsid w:val="00E5492F"/>
    <w:rsid w:val="00E572B1"/>
    <w:rsid w:val="00E6369A"/>
    <w:rsid w:val="00E7078C"/>
    <w:rsid w:val="00E70A86"/>
    <w:rsid w:val="00E72998"/>
    <w:rsid w:val="00E73E50"/>
    <w:rsid w:val="00E777EC"/>
    <w:rsid w:val="00E80FCD"/>
    <w:rsid w:val="00E81CE2"/>
    <w:rsid w:val="00E8239F"/>
    <w:rsid w:val="00E8527C"/>
    <w:rsid w:val="00E86163"/>
    <w:rsid w:val="00E92E6F"/>
    <w:rsid w:val="00E97AB5"/>
    <w:rsid w:val="00EA2226"/>
    <w:rsid w:val="00EA49D8"/>
    <w:rsid w:val="00EA7DB0"/>
    <w:rsid w:val="00EA7F2F"/>
    <w:rsid w:val="00EB0EFB"/>
    <w:rsid w:val="00EB111D"/>
    <w:rsid w:val="00EB1F85"/>
    <w:rsid w:val="00EB2B39"/>
    <w:rsid w:val="00EB576F"/>
    <w:rsid w:val="00EB6048"/>
    <w:rsid w:val="00EB6590"/>
    <w:rsid w:val="00EC00DE"/>
    <w:rsid w:val="00EC21DF"/>
    <w:rsid w:val="00EC30E1"/>
    <w:rsid w:val="00EC3436"/>
    <w:rsid w:val="00EC3B70"/>
    <w:rsid w:val="00EC53EA"/>
    <w:rsid w:val="00EC66BB"/>
    <w:rsid w:val="00ED172A"/>
    <w:rsid w:val="00ED38D1"/>
    <w:rsid w:val="00ED5757"/>
    <w:rsid w:val="00ED6AE7"/>
    <w:rsid w:val="00EE01DC"/>
    <w:rsid w:val="00EE1F47"/>
    <w:rsid w:val="00EE359E"/>
    <w:rsid w:val="00F11551"/>
    <w:rsid w:val="00F12BD0"/>
    <w:rsid w:val="00F13010"/>
    <w:rsid w:val="00F13633"/>
    <w:rsid w:val="00F14AB3"/>
    <w:rsid w:val="00F14BEC"/>
    <w:rsid w:val="00F224B7"/>
    <w:rsid w:val="00F225C5"/>
    <w:rsid w:val="00F2587A"/>
    <w:rsid w:val="00F33470"/>
    <w:rsid w:val="00F34E02"/>
    <w:rsid w:val="00F3715D"/>
    <w:rsid w:val="00F37A10"/>
    <w:rsid w:val="00F420C8"/>
    <w:rsid w:val="00F42449"/>
    <w:rsid w:val="00F42A4C"/>
    <w:rsid w:val="00F445ED"/>
    <w:rsid w:val="00F464AE"/>
    <w:rsid w:val="00F476A3"/>
    <w:rsid w:val="00F526BD"/>
    <w:rsid w:val="00F54D82"/>
    <w:rsid w:val="00F634A1"/>
    <w:rsid w:val="00F7062B"/>
    <w:rsid w:val="00F710F1"/>
    <w:rsid w:val="00F721CF"/>
    <w:rsid w:val="00F72B9F"/>
    <w:rsid w:val="00F7525D"/>
    <w:rsid w:val="00F80E16"/>
    <w:rsid w:val="00F9370E"/>
    <w:rsid w:val="00F96EAF"/>
    <w:rsid w:val="00FA1FA0"/>
    <w:rsid w:val="00FA3AF9"/>
    <w:rsid w:val="00FB52A5"/>
    <w:rsid w:val="00FB7512"/>
    <w:rsid w:val="00FC3743"/>
    <w:rsid w:val="00FC58B3"/>
    <w:rsid w:val="00FD40A1"/>
    <w:rsid w:val="00FD415B"/>
    <w:rsid w:val="00FD582D"/>
    <w:rsid w:val="00FD5F2E"/>
    <w:rsid w:val="00FD7547"/>
    <w:rsid w:val="00FE122F"/>
    <w:rsid w:val="00FE287B"/>
    <w:rsid w:val="00FE3EBC"/>
    <w:rsid w:val="00FE413C"/>
    <w:rsid w:val="00FE5DB1"/>
    <w:rsid w:val="00FE6B50"/>
    <w:rsid w:val="00FF1344"/>
    <w:rsid w:val="00FF1B03"/>
    <w:rsid w:val="00FF1B63"/>
    <w:rsid w:val="00FF3E26"/>
    <w:rsid w:val="00FF5F5C"/>
    <w:rsid w:val="011E6F00"/>
    <w:rsid w:val="01E36515"/>
    <w:rsid w:val="024F1196"/>
    <w:rsid w:val="02C895D1"/>
    <w:rsid w:val="034B53FF"/>
    <w:rsid w:val="036E3BFD"/>
    <w:rsid w:val="03A275A1"/>
    <w:rsid w:val="03BAFFA5"/>
    <w:rsid w:val="0496527B"/>
    <w:rsid w:val="04A23876"/>
    <w:rsid w:val="04BAAF68"/>
    <w:rsid w:val="0501FBA6"/>
    <w:rsid w:val="05043C29"/>
    <w:rsid w:val="058F8B84"/>
    <w:rsid w:val="059E7F6C"/>
    <w:rsid w:val="05C018D6"/>
    <w:rsid w:val="05E399C2"/>
    <w:rsid w:val="05FB25AF"/>
    <w:rsid w:val="0673E8C7"/>
    <w:rsid w:val="069F1F24"/>
    <w:rsid w:val="06A54518"/>
    <w:rsid w:val="06D69990"/>
    <w:rsid w:val="0756D606"/>
    <w:rsid w:val="077D29CB"/>
    <w:rsid w:val="080A7446"/>
    <w:rsid w:val="084CE790"/>
    <w:rsid w:val="0861779A"/>
    <w:rsid w:val="08766F4E"/>
    <w:rsid w:val="08E5C76E"/>
    <w:rsid w:val="09262755"/>
    <w:rsid w:val="0945EAA2"/>
    <w:rsid w:val="0973E443"/>
    <w:rsid w:val="09D354D4"/>
    <w:rsid w:val="09F42DAD"/>
    <w:rsid w:val="0A080F7D"/>
    <w:rsid w:val="0A200A64"/>
    <w:rsid w:val="0A2FF12A"/>
    <w:rsid w:val="0A3979B4"/>
    <w:rsid w:val="0A3D10B0"/>
    <w:rsid w:val="0A9D2EF5"/>
    <w:rsid w:val="0B9137FB"/>
    <w:rsid w:val="0C539292"/>
    <w:rsid w:val="0CF6DFAF"/>
    <w:rsid w:val="0D4E2B47"/>
    <w:rsid w:val="0D7D7DB2"/>
    <w:rsid w:val="0DD32B6C"/>
    <w:rsid w:val="0DEE1B76"/>
    <w:rsid w:val="0E36A901"/>
    <w:rsid w:val="0E5D3116"/>
    <w:rsid w:val="0ED6326C"/>
    <w:rsid w:val="0EE40C9C"/>
    <w:rsid w:val="0EEBAD4A"/>
    <w:rsid w:val="0F9CA0DF"/>
    <w:rsid w:val="0F9CEF91"/>
    <w:rsid w:val="1038F146"/>
    <w:rsid w:val="10A9C5B9"/>
    <w:rsid w:val="113EDBE9"/>
    <w:rsid w:val="1152E544"/>
    <w:rsid w:val="1176F9AC"/>
    <w:rsid w:val="129174C8"/>
    <w:rsid w:val="129946EA"/>
    <w:rsid w:val="12B43141"/>
    <w:rsid w:val="1349DF80"/>
    <w:rsid w:val="139D35C7"/>
    <w:rsid w:val="13D60F1E"/>
    <w:rsid w:val="13E011DF"/>
    <w:rsid w:val="14205B11"/>
    <w:rsid w:val="14785412"/>
    <w:rsid w:val="1484005B"/>
    <w:rsid w:val="14B82598"/>
    <w:rsid w:val="14D44E95"/>
    <w:rsid w:val="155506EF"/>
    <w:rsid w:val="15618156"/>
    <w:rsid w:val="15677C94"/>
    <w:rsid w:val="159DBFAE"/>
    <w:rsid w:val="15D2CDB1"/>
    <w:rsid w:val="15D319E0"/>
    <w:rsid w:val="161B24FC"/>
    <w:rsid w:val="162D31D0"/>
    <w:rsid w:val="165385A9"/>
    <w:rsid w:val="16B78064"/>
    <w:rsid w:val="17098DB1"/>
    <w:rsid w:val="17829B8F"/>
    <w:rsid w:val="17917256"/>
    <w:rsid w:val="17EB1510"/>
    <w:rsid w:val="17EB77BE"/>
    <w:rsid w:val="1802E210"/>
    <w:rsid w:val="1816F068"/>
    <w:rsid w:val="181A73F2"/>
    <w:rsid w:val="18739665"/>
    <w:rsid w:val="18DB2999"/>
    <w:rsid w:val="1909CA84"/>
    <w:rsid w:val="1985258E"/>
    <w:rsid w:val="1A11F409"/>
    <w:rsid w:val="1A253D90"/>
    <w:rsid w:val="1A2BD2DB"/>
    <w:rsid w:val="1B00A2F3"/>
    <w:rsid w:val="1B03D4B9"/>
    <w:rsid w:val="1BA28AD1"/>
    <w:rsid w:val="1C1CE4F6"/>
    <w:rsid w:val="1C634EA7"/>
    <w:rsid w:val="1C683488"/>
    <w:rsid w:val="1C6C4964"/>
    <w:rsid w:val="1C8394C5"/>
    <w:rsid w:val="1CD325A1"/>
    <w:rsid w:val="1D0045B8"/>
    <w:rsid w:val="1DCD6CF5"/>
    <w:rsid w:val="1E430110"/>
    <w:rsid w:val="1EC425AD"/>
    <w:rsid w:val="1EC82DDD"/>
    <w:rsid w:val="20D32DF1"/>
    <w:rsid w:val="213FE9E9"/>
    <w:rsid w:val="2155677E"/>
    <w:rsid w:val="229CBCE3"/>
    <w:rsid w:val="23139802"/>
    <w:rsid w:val="232174D2"/>
    <w:rsid w:val="2351ECC1"/>
    <w:rsid w:val="23C03B40"/>
    <w:rsid w:val="242A4912"/>
    <w:rsid w:val="246306DC"/>
    <w:rsid w:val="24BBBFBA"/>
    <w:rsid w:val="256D4027"/>
    <w:rsid w:val="2596A8E5"/>
    <w:rsid w:val="26E089C6"/>
    <w:rsid w:val="2841F41D"/>
    <w:rsid w:val="28EA2264"/>
    <w:rsid w:val="28F5FC44"/>
    <w:rsid w:val="28FB8B03"/>
    <w:rsid w:val="294EDF6D"/>
    <w:rsid w:val="2A056F63"/>
    <w:rsid w:val="2A135711"/>
    <w:rsid w:val="2A3D8B44"/>
    <w:rsid w:val="2A6CD819"/>
    <w:rsid w:val="2A847949"/>
    <w:rsid w:val="2AEBFF71"/>
    <w:rsid w:val="2B92910A"/>
    <w:rsid w:val="2BDF45A4"/>
    <w:rsid w:val="2CBDB66A"/>
    <w:rsid w:val="2D2EAE76"/>
    <w:rsid w:val="2D6BE247"/>
    <w:rsid w:val="2D8D31B4"/>
    <w:rsid w:val="2D93BD79"/>
    <w:rsid w:val="2DD51A17"/>
    <w:rsid w:val="2DEA2F8C"/>
    <w:rsid w:val="2E128DB5"/>
    <w:rsid w:val="2E89FA96"/>
    <w:rsid w:val="2FA9027B"/>
    <w:rsid w:val="308B4FB4"/>
    <w:rsid w:val="30A79219"/>
    <w:rsid w:val="30FBF4B7"/>
    <w:rsid w:val="3127CE83"/>
    <w:rsid w:val="31336D9D"/>
    <w:rsid w:val="31520E93"/>
    <w:rsid w:val="31DE223F"/>
    <w:rsid w:val="3282E3F5"/>
    <w:rsid w:val="32A2117D"/>
    <w:rsid w:val="32D6745C"/>
    <w:rsid w:val="33852736"/>
    <w:rsid w:val="339BCD25"/>
    <w:rsid w:val="341E8617"/>
    <w:rsid w:val="342FFC39"/>
    <w:rsid w:val="34701DE6"/>
    <w:rsid w:val="3568B61B"/>
    <w:rsid w:val="3574DC37"/>
    <w:rsid w:val="35BA5678"/>
    <w:rsid w:val="35D8597B"/>
    <w:rsid w:val="35F108A2"/>
    <w:rsid w:val="369C8CFF"/>
    <w:rsid w:val="371B29BB"/>
    <w:rsid w:val="378FA437"/>
    <w:rsid w:val="37A60A59"/>
    <w:rsid w:val="37CE33B8"/>
    <w:rsid w:val="37E2BA52"/>
    <w:rsid w:val="382AF396"/>
    <w:rsid w:val="3981D69F"/>
    <w:rsid w:val="39C13C05"/>
    <w:rsid w:val="39F4E25D"/>
    <w:rsid w:val="3A311D3B"/>
    <w:rsid w:val="3A7CB379"/>
    <w:rsid w:val="3AD2AC00"/>
    <w:rsid w:val="3BFFD2EA"/>
    <w:rsid w:val="3C0957AF"/>
    <w:rsid w:val="3C3AA47D"/>
    <w:rsid w:val="3C5037A0"/>
    <w:rsid w:val="3CF2C39A"/>
    <w:rsid w:val="3D199661"/>
    <w:rsid w:val="3D543641"/>
    <w:rsid w:val="3D86726A"/>
    <w:rsid w:val="3DFBDC4F"/>
    <w:rsid w:val="3E051761"/>
    <w:rsid w:val="3E06500C"/>
    <w:rsid w:val="3E4ACB0C"/>
    <w:rsid w:val="3EB137CA"/>
    <w:rsid w:val="3F029620"/>
    <w:rsid w:val="4004E0CD"/>
    <w:rsid w:val="40853101"/>
    <w:rsid w:val="4089DC16"/>
    <w:rsid w:val="40A99FC8"/>
    <w:rsid w:val="40F5ECC7"/>
    <w:rsid w:val="41000EAC"/>
    <w:rsid w:val="412E2C91"/>
    <w:rsid w:val="41724581"/>
    <w:rsid w:val="41A205BE"/>
    <w:rsid w:val="41D87FC1"/>
    <w:rsid w:val="42B772A4"/>
    <w:rsid w:val="42D93651"/>
    <w:rsid w:val="431A7EA6"/>
    <w:rsid w:val="43797606"/>
    <w:rsid w:val="43A48333"/>
    <w:rsid w:val="4458979D"/>
    <w:rsid w:val="45189643"/>
    <w:rsid w:val="45688DEA"/>
    <w:rsid w:val="45716F08"/>
    <w:rsid w:val="45CF8864"/>
    <w:rsid w:val="46729CD8"/>
    <w:rsid w:val="469FC55E"/>
    <w:rsid w:val="46A3FCE8"/>
    <w:rsid w:val="46C0243A"/>
    <w:rsid w:val="47A38EE0"/>
    <w:rsid w:val="47E55186"/>
    <w:rsid w:val="481FA856"/>
    <w:rsid w:val="489C1E60"/>
    <w:rsid w:val="49311F1A"/>
    <w:rsid w:val="497C6EFD"/>
    <w:rsid w:val="498D6368"/>
    <w:rsid w:val="4A0CC7BA"/>
    <w:rsid w:val="4A3C993A"/>
    <w:rsid w:val="4A96C371"/>
    <w:rsid w:val="4ABD7905"/>
    <w:rsid w:val="4AC898DD"/>
    <w:rsid w:val="4B0E836B"/>
    <w:rsid w:val="4B0F0377"/>
    <w:rsid w:val="4B511BBF"/>
    <w:rsid w:val="4BF32F5B"/>
    <w:rsid w:val="4C12F9D5"/>
    <w:rsid w:val="4C2BDF24"/>
    <w:rsid w:val="4C91511F"/>
    <w:rsid w:val="4CFA160F"/>
    <w:rsid w:val="4D51C59C"/>
    <w:rsid w:val="4D6C38EE"/>
    <w:rsid w:val="4D7ACFCC"/>
    <w:rsid w:val="4DD580CF"/>
    <w:rsid w:val="4E9906CC"/>
    <w:rsid w:val="4EA419A8"/>
    <w:rsid w:val="4EB5B86E"/>
    <w:rsid w:val="4EB6B12C"/>
    <w:rsid w:val="4FF07FE7"/>
    <w:rsid w:val="505BC1D8"/>
    <w:rsid w:val="50ABDABE"/>
    <w:rsid w:val="511EAB6D"/>
    <w:rsid w:val="512689D5"/>
    <w:rsid w:val="519665EC"/>
    <w:rsid w:val="51B2CA61"/>
    <w:rsid w:val="525495A4"/>
    <w:rsid w:val="536E4FC1"/>
    <w:rsid w:val="537B1F35"/>
    <w:rsid w:val="53928505"/>
    <w:rsid w:val="53DEFBC6"/>
    <w:rsid w:val="552254E5"/>
    <w:rsid w:val="5523F00C"/>
    <w:rsid w:val="55B7E3D8"/>
    <w:rsid w:val="55CA05F7"/>
    <w:rsid w:val="561BB753"/>
    <w:rsid w:val="5657DE19"/>
    <w:rsid w:val="56730ED4"/>
    <w:rsid w:val="571B415D"/>
    <w:rsid w:val="57451260"/>
    <w:rsid w:val="57713396"/>
    <w:rsid w:val="57DF9E4A"/>
    <w:rsid w:val="57E620DF"/>
    <w:rsid w:val="58110808"/>
    <w:rsid w:val="58161467"/>
    <w:rsid w:val="58564F98"/>
    <w:rsid w:val="592EB917"/>
    <w:rsid w:val="593A6F95"/>
    <w:rsid w:val="5991CA19"/>
    <w:rsid w:val="59AAAF96"/>
    <w:rsid w:val="59B2606D"/>
    <w:rsid w:val="59E50CFF"/>
    <w:rsid w:val="5A0C87C4"/>
    <w:rsid w:val="5A5388BF"/>
    <w:rsid w:val="5B3DB903"/>
    <w:rsid w:val="5B5F30BA"/>
    <w:rsid w:val="5B7F919D"/>
    <w:rsid w:val="5C6D02A7"/>
    <w:rsid w:val="5C8DABC4"/>
    <w:rsid w:val="5CB80E9D"/>
    <w:rsid w:val="5D104CC1"/>
    <w:rsid w:val="5D198693"/>
    <w:rsid w:val="5D3867AC"/>
    <w:rsid w:val="5D81D27C"/>
    <w:rsid w:val="5DABC5A3"/>
    <w:rsid w:val="5E297C25"/>
    <w:rsid w:val="5E3EAA62"/>
    <w:rsid w:val="5E8297B0"/>
    <w:rsid w:val="5E91601C"/>
    <w:rsid w:val="5F691D0C"/>
    <w:rsid w:val="5F74F266"/>
    <w:rsid w:val="5F830661"/>
    <w:rsid w:val="5FC54C86"/>
    <w:rsid w:val="6071C13E"/>
    <w:rsid w:val="60AF1C1A"/>
    <w:rsid w:val="60C8C707"/>
    <w:rsid w:val="60E73399"/>
    <w:rsid w:val="613B9D8E"/>
    <w:rsid w:val="61735CF9"/>
    <w:rsid w:val="6182471C"/>
    <w:rsid w:val="61A4F722"/>
    <w:rsid w:val="621E59E4"/>
    <w:rsid w:val="625098B7"/>
    <w:rsid w:val="625EBC59"/>
    <w:rsid w:val="6285ED7A"/>
    <w:rsid w:val="62911EFA"/>
    <w:rsid w:val="62C8297E"/>
    <w:rsid w:val="62CB3E8A"/>
    <w:rsid w:val="6427036D"/>
    <w:rsid w:val="64A3DBA3"/>
    <w:rsid w:val="6583D237"/>
    <w:rsid w:val="658434D4"/>
    <w:rsid w:val="65C48644"/>
    <w:rsid w:val="65F7B7B0"/>
    <w:rsid w:val="66829F92"/>
    <w:rsid w:val="66B0A612"/>
    <w:rsid w:val="66D1BB14"/>
    <w:rsid w:val="66D5669C"/>
    <w:rsid w:val="66D59DA6"/>
    <w:rsid w:val="67990591"/>
    <w:rsid w:val="67EFF0AB"/>
    <w:rsid w:val="680ACE63"/>
    <w:rsid w:val="680BE5C0"/>
    <w:rsid w:val="686EC76E"/>
    <w:rsid w:val="68A5D714"/>
    <w:rsid w:val="68DBA996"/>
    <w:rsid w:val="690F1BB9"/>
    <w:rsid w:val="691A2794"/>
    <w:rsid w:val="69342DC2"/>
    <w:rsid w:val="69772BA5"/>
    <w:rsid w:val="697EF049"/>
    <w:rsid w:val="6A014AF1"/>
    <w:rsid w:val="6A0D4BCE"/>
    <w:rsid w:val="6A61D147"/>
    <w:rsid w:val="6A80ECF6"/>
    <w:rsid w:val="6A8557C4"/>
    <w:rsid w:val="6A9B6DF6"/>
    <w:rsid w:val="6AFC1311"/>
    <w:rsid w:val="6B589A21"/>
    <w:rsid w:val="6B5A3F7C"/>
    <w:rsid w:val="6B80D7FF"/>
    <w:rsid w:val="6B9992B8"/>
    <w:rsid w:val="6BD95185"/>
    <w:rsid w:val="6C753F52"/>
    <w:rsid w:val="6C8FEED6"/>
    <w:rsid w:val="6CB62E50"/>
    <w:rsid w:val="6CD90D74"/>
    <w:rsid w:val="6CDA0624"/>
    <w:rsid w:val="6CE8EE70"/>
    <w:rsid w:val="6D86FCAF"/>
    <w:rsid w:val="6D88C429"/>
    <w:rsid w:val="6E8E8CD3"/>
    <w:rsid w:val="6E9E9321"/>
    <w:rsid w:val="6EB4E2CC"/>
    <w:rsid w:val="6F26C02B"/>
    <w:rsid w:val="701625DA"/>
    <w:rsid w:val="702D1067"/>
    <w:rsid w:val="704CC38E"/>
    <w:rsid w:val="705C1211"/>
    <w:rsid w:val="70633900"/>
    <w:rsid w:val="70B7AD76"/>
    <w:rsid w:val="710177B5"/>
    <w:rsid w:val="714C9B32"/>
    <w:rsid w:val="718BE40F"/>
    <w:rsid w:val="71973B8C"/>
    <w:rsid w:val="71D61641"/>
    <w:rsid w:val="720E21D4"/>
    <w:rsid w:val="7240F1A5"/>
    <w:rsid w:val="725ECA4A"/>
    <w:rsid w:val="72800DDE"/>
    <w:rsid w:val="72DE5238"/>
    <w:rsid w:val="73277BC9"/>
    <w:rsid w:val="73496D11"/>
    <w:rsid w:val="736FBEC0"/>
    <w:rsid w:val="73A06282"/>
    <w:rsid w:val="73EDABA8"/>
    <w:rsid w:val="74248E0C"/>
    <w:rsid w:val="74BBED10"/>
    <w:rsid w:val="750595F5"/>
    <w:rsid w:val="750B8F21"/>
    <w:rsid w:val="765A3A77"/>
    <w:rsid w:val="7682ECA5"/>
    <w:rsid w:val="76C7BA9B"/>
    <w:rsid w:val="77133D94"/>
    <w:rsid w:val="772EC2BD"/>
    <w:rsid w:val="773A32E6"/>
    <w:rsid w:val="7764C1C3"/>
    <w:rsid w:val="778B3A8C"/>
    <w:rsid w:val="77CFFF22"/>
    <w:rsid w:val="77D32BE9"/>
    <w:rsid w:val="78B23ED9"/>
    <w:rsid w:val="791A3856"/>
    <w:rsid w:val="794B9866"/>
    <w:rsid w:val="79554981"/>
    <w:rsid w:val="7A2F3305"/>
    <w:rsid w:val="7A4255A9"/>
    <w:rsid w:val="7AE6F31D"/>
    <w:rsid w:val="7B5028F3"/>
    <w:rsid w:val="7CE6D4BA"/>
    <w:rsid w:val="7D715385"/>
    <w:rsid w:val="7E1769BB"/>
    <w:rsid w:val="7EE78D95"/>
    <w:rsid w:val="7F196FF1"/>
    <w:rsid w:val="7F1ECE64"/>
    <w:rsid w:val="7F25C416"/>
    <w:rsid w:val="7F90F50E"/>
    <w:rsid w:val="7FBF8C05"/>
    <w:rsid w:val="7FDE96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E6FBB"/>
  <w15:docId w15:val="{0909EC17-87CF-44FF-9F7A-A9D2AF40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uiPriority="2" w:qFormat="1"/>
    <w:lsdException w:name="heading 4" w:uiPriority="9"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F7BF7"/>
    <w:pPr>
      <w:keepNext/>
      <w:numPr>
        <w:numId w:val="97"/>
      </w:numPr>
      <w:spacing w:before="240" w:after="240"/>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numPr>
        <w:ilvl w:val="1"/>
        <w:numId w:val="97"/>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rsid w:val="00850B09"/>
    <w:pPr>
      <w:keepNext/>
      <w:numPr>
        <w:ilvl w:val="2"/>
        <w:numId w:val="97"/>
      </w:numPr>
      <w:spacing w:before="240" w:after="240"/>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numPr>
        <w:ilvl w:val="3"/>
        <w:numId w:val="97"/>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CA5734"/>
    <w:pPr>
      <w:keepNext/>
      <w:numPr>
        <w:ilvl w:val="4"/>
        <w:numId w:val="97"/>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97"/>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97"/>
      </w:numPr>
      <w:spacing w:before="240" w:after="60"/>
      <w:outlineLvl w:val="6"/>
    </w:pPr>
  </w:style>
  <w:style w:type="paragraph" w:styleId="Heading8">
    <w:name w:val="heading 8"/>
    <w:basedOn w:val="Normal"/>
    <w:next w:val="Normal"/>
    <w:link w:val="Heading8Char"/>
    <w:uiPriority w:val="9"/>
    <w:unhideWhenUsed/>
    <w:rsid w:val="00B731D3"/>
    <w:pPr>
      <w:numPr>
        <w:ilvl w:val="7"/>
        <w:numId w:val="97"/>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97"/>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4"/>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4"/>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uiPriority w:val="39"/>
    <w:rsid w:val="00A318EB"/>
    <w:pPr>
      <w:ind w:left="660"/>
    </w:pPr>
    <w:rPr>
      <w:rFonts w:asciiTheme="minorHAnsi" w:hAnsiTheme="minorHAnsi" w:cstheme="minorHAnsi"/>
      <w:sz w:val="18"/>
      <w:szCs w:val="18"/>
    </w:rPr>
  </w:style>
  <w:style w:type="paragraph" w:styleId="TOC5">
    <w:name w:val="toc 5"/>
    <w:basedOn w:val="Normal"/>
    <w:next w:val="Normal"/>
    <w:autoRedefine/>
    <w:uiPriority w:val="39"/>
    <w:rsid w:val="00A318EB"/>
    <w:pPr>
      <w:ind w:left="880"/>
    </w:pPr>
    <w:rPr>
      <w:rFonts w:asciiTheme="minorHAnsi" w:hAnsiTheme="minorHAnsi" w:cstheme="minorHAnsi"/>
      <w:sz w:val="18"/>
      <w:szCs w:val="18"/>
    </w:rPr>
  </w:style>
  <w:style w:type="character" w:styleId="FollowedHyperlink">
    <w:name w:val="FollowedHyperlink"/>
    <w:basedOn w:val="DefaultParagraphFont"/>
    <w:uiPriority w:val="99"/>
    <w:rsid w:val="007D0189"/>
    <w:rPr>
      <w:color w:val="3333FF"/>
      <w:u w:val="single"/>
    </w:rPr>
  </w:style>
  <w:style w:type="paragraph" w:styleId="TOC6">
    <w:name w:val="toc 6"/>
    <w:basedOn w:val="Normal"/>
    <w:next w:val="Normal"/>
    <w:autoRedefine/>
    <w:uiPriority w:val="39"/>
    <w:rsid w:val="00A318EB"/>
    <w:pPr>
      <w:ind w:left="1100"/>
    </w:pPr>
    <w:rPr>
      <w:rFonts w:asciiTheme="minorHAnsi" w:hAnsiTheme="minorHAnsi" w:cstheme="minorHAnsi"/>
      <w:sz w:val="18"/>
      <w:szCs w:val="18"/>
    </w:rPr>
  </w:style>
  <w:style w:type="paragraph" w:customStyle="1" w:styleId="Footnote">
    <w:name w:val="Footnote"/>
    <w:basedOn w:val="Normal"/>
    <w:link w:val="FootnoteChar"/>
    <w:rsid w:val="00E47D3B"/>
    <w:pPr>
      <w:tabs>
        <w:tab w:val="left" w:pos="851"/>
      </w:tabs>
    </w:pPr>
    <w:rPr>
      <w:sz w:val="18"/>
      <w:szCs w:val="20"/>
    </w:rPr>
  </w:style>
  <w:style w:type="character" w:customStyle="1" w:styleId="FootnoteChar">
    <w:name w:val="Footnote Char"/>
    <w:basedOn w:val="DefaultParagraphFont"/>
    <w:link w:val="Footnote"/>
    <w:rsid w:val="00DC14FC"/>
    <w:rPr>
      <w:rFonts w:ascii="Arial" w:hAnsi="Arial"/>
      <w:sz w:val="18"/>
      <w:lang w:eastAsia="en-US" w:bidi="en-US"/>
    </w:rPr>
  </w:style>
  <w:style w:type="paragraph" w:customStyle="1" w:styleId="Table1">
    <w:name w:val="Table 1"/>
    <w:basedOn w:val="Normal"/>
    <w:uiPriority w:val="20"/>
    <w:qFormat/>
    <w:rsid w:val="00C6434A"/>
    <w:pPr>
      <w:spacing w:after="120"/>
      <w:jc w:val="center"/>
    </w:pPr>
    <w:rPr>
      <w:b/>
      <w:bCs/>
      <w:sz w:val="18"/>
      <w:szCs w:val="20"/>
    </w:rPr>
  </w:style>
  <w:style w:type="paragraph" w:customStyle="1" w:styleId="Table2">
    <w:name w:val="Table 2"/>
    <w:basedOn w:val="Normal"/>
    <w:uiPriority w:val="20"/>
    <w:rsid w:val="005811B7"/>
    <w:pPr>
      <w:ind w:left="142" w:hanging="142"/>
    </w:pPr>
    <w:rPr>
      <w:bCs/>
      <w:sz w:val="18"/>
      <w:szCs w:val="20"/>
    </w:rPr>
  </w:style>
  <w:style w:type="paragraph" w:styleId="TOC7">
    <w:name w:val="toc 7"/>
    <w:basedOn w:val="Normal"/>
    <w:next w:val="Normal"/>
    <w:autoRedefine/>
    <w:uiPriority w:val="39"/>
    <w:rsid w:val="00A318EB"/>
    <w:pPr>
      <w:ind w:left="1320"/>
    </w:pPr>
    <w:rPr>
      <w:rFonts w:asciiTheme="minorHAnsi" w:hAnsiTheme="minorHAnsi" w:cstheme="minorHAnsi"/>
      <w:sz w:val="18"/>
      <w:szCs w:val="18"/>
    </w:rPr>
  </w:style>
  <w:style w:type="paragraph" w:styleId="TOC8">
    <w:name w:val="toc 8"/>
    <w:basedOn w:val="Normal"/>
    <w:next w:val="Normal"/>
    <w:autoRedefine/>
    <w:uiPriority w:val="39"/>
    <w:rsid w:val="00A318EB"/>
    <w:pPr>
      <w:ind w:left="1540"/>
    </w:pPr>
    <w:rPr>
      <w:rFonts w:asciiTheme="minorHAnsi" w:hAnsiTheme="minorHAnsi" w:cstheme="minorHAnsi"/>
      <w:sz w:val="18"/>
      <w:szCs w:val="18"/>
    </w:rPr>
  </w:style>
  <w:style w:type="paragraph" w:styleId="TOC9">
    <w:name w:val="toc 9"/>
    <w:basedOn w:val="Normal"/>
    <w:next w:val="Normal"/>
    <w:autoRedefine/>
    <w:uiPriority w:val="39"/>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sid w:val="00A318EB"/>
    <w:rPr>
      <w:sz w:val="20"/>
      <w:szCs w:val="20"/>
    </w:rPr>
  </w:style>
  <w:style w:type="character" w:customStyle="1" w:styleId="FootnoteTextChar">
    <w:name w:val="Footnote Text Char"/>
    <w:aliases w:val="Footnotes Text Char,FSFootnotes Text Char,FSFootnote Text Char"/>
    <w:basedOn w:val="DefaultParagraphFont"/>
    <w:link w:val="FootnoteText"/>
    <w:uiPriority w:val="5"/>
    <w:rsid w:val="006E10A1"/>
    <w:rPr>
      <w:rFonts w:ascii="Arial" w:hAnsi="Arial"/>
      <w:lang w:eastAsia="en-US" w:bidi="en-US"/>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CB7716"/>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numPr>
        <w:numId w:val="96"/>
      </w:num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1"/>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2"/>
      </w:numPr>
    </w:pPr>
    <w:rPr>
      <w:rFonts w:eastAsia="Calibri"/>
      <w:szCs w:val="22"/>
      <w:lang w:bidi="ar-SA"/>
    </w:rPr>
  </w:style>
  <w:style w:type="paragraph" w:customStyle="1" w:styleId="FSBullet3">
    <w:name w:val="FSBullet 3"/>
    <w:basedOn w:val="Normal"/>
    <w:uiPriority w:val="6"/>
    <w:qFormat/>
    <w:rsid w:val="0015187A"/>
    <w:pPr>
      <w:keepNext/>
      <w:widowControl/>
      <w:numPr>
        <w:numId w:val="3"/>
      </w:numPr>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aliases w:val="n_outline_standar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rsid w:val="001F7F63"/>
    <w:rPr>
      <w:b/>
      <w:bCs/>
    </w:rPr>
  </w:style>
  <w:style w:type="character" w:customStyle="1" w:styleId="CommentSubjectChar">
    <w:name w:val="Comment Subject Char"/>
    <w:basedOn w:val="CommentTextChar"/>
    <w:link w:val="CommentSubject"/>
    <w:uiPriority w:val="99"/>
    <w:rsid w:val="001F7F63"/>
    <w:rPr>
      <w:rFonts w:ascii="Arial" w:hAnsi="Arial"/>
      <w:b/>
      <w:bCs/>
      <w:lang w:eastAsia="en-US" w:bidi="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C14FC"/>
    <w:pPr>
      <w:widowControl/>
      <w:ind w:left="720"/>
      <w:contextualSpacing/>
    </w:pPr>
    <w:rPr>
      <w:rFonts w:eastAsiaTheme="minorHAnsi" w:cstheme="minorBidi"/>
      <w:szCs w:val="22"/>
      <w:lang w:bidi="ar-SA"/>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10A1A"/>
    <w:rPr>
      <w:rFonts w:ascii="Arial" w:eastAsiaTheme="minorHAnsi" w:hAnsi="Arial" w:cstheme="minorBidi"/>
      <w:sz w:val="22"/>
      <w:szCs w:val="22"/>
      <w:lang w:eastAsia="en-US"/>
    </w:rPr>
  </w:style>
  <w:style w:type="paragraph" w:styleId="Caption">
    <w:name w:val="caption"/>
    <w:basedOn w:val="Normal"/>
    <w:next w:val="Normal"/>
    <w:uiPriority w:val="35"/>
    <w:unhideWhenUsed/>
    <w:qFormat/>
    <w:rsid w:val="00842F38"/>
    <w:pPr>
      <w:spacing w:after="200"/>
    </w:pPr>
    <w:rPr>
      <w:i/>
      <w:iCs/>
      <w:color w:val="1F497D" w:themeColor="text2"/>
      <w:sz w:val="18"/>
      <w:szCs w:val="18"/>
    </w:rPr>
  </w:style>
  <w:style w:type="table" w:styleId="GridTable1Light">
    <w:name w:val="Grid Table 1 Light"/>
    <w:basedOn w:val="TableNormal"/>
    <w:uiPriority w:val="46"/>
    <w:rsid w:val="00414BD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SBullet">
    <w:name w:val="FS Bullet"/>
    <w:basedOn w:val="Normal"/>
    <w:next w:val="Normal"/>
    <w:link w:val="FSBulletChar"/>
    <w:qFormat/>
    <w:rsid w:val="00D349E5"/>
    <w:pPr>
      <w:ind w:left="567" w:hanging="567"/>
    </w:pPr>
    <w:rPr>
      <w:rFonts w:cs="Arial"/>
    </w:rPr>
  </w:style>
  <w:style w:type="character" w:customStyle="1" w:styleId="FSBulletChar">
    <w:name w:val="FS Bullet Char"/>
    <w:basedOn w:val="DefaultParagraphFont"/>
    <w:link w:val="FSBullet"/>
    <w:rsid w:val="00D349E5"/>
    <w:rPr>
      <w:rFonts w:ascii="Arial" w:hAnsi="Arial" w:cs="Arial"/>
      <w:sz w:val="22"/>
      <w:szCs w:val="24"/>
      <w:lang w:eastAsia="en-US" w:bidi="en-US"/>
    </w:rPr>
  </w:style>
  <w:style w:type="character" w:customStyle="1" w:styleId="normaltextrun">
    <w:name w:val="normaltextrun"/>
    <w:basedOn w:val="DefaultParagraphFont"/>
    <w:rsid w:val="00D349E5"/>
  </w:style>
  <w:style w:type="paragraph" w:customStyle="1" w:styleId="HeaderEPHFF-17052022-31449PM">
    <w:name w:val="HeaderEPHFF-17052022-31449 PM"/>
    <w:rsid w:val="00AF762E"/>
    <w:pPr>
      <w:widowControl w:val="0"/>
    </w:pPr>
    <w:rPr>
      <w:rFonts w:ascii="Arial" w:hAnsi="Arial"/>
      <w:sz w:val="22"/>
      <w:szCs w:val="24"/>
      <w:lang w:eastAsia="en-US" w:bidi="en-US"/>
    </w:rPr>
  </w:style>
  <w:style w:type="character" w:customStyle="1" w:styleId="eop">
    <w:name w:val="eop"/>
    <w:basedOn w:val="DefaultParagraphFont"/>
    <w:rsid w:val="000A382C"/>
  </w:style>
  <w:style w:type="paragraph" w:customStyle="1" w:styleId="FSCh2Amendmentheading">
    <w:name w:val="FSC_h2_Amendment_heading"/>
    <w:basedOn w:val="Normal"/>
    <w:qFormat/>
    <w:rsid w:val="00280892"/>
    <w:pPr>
      <w:keepNext/>
      <w:keepLines/>
      <w:widowControl/>
      <w:spacing w:before="360" w:after="240"/>
      <w:ind w:left="2835" w:hanging="2835"/>
      <w:outlineLvl w:val="2"/>
    </w:pPr>
    <w:rPr>
      <w:rFonts w:cs="Arial"/>
      <w:b/>
      <w:bCs/>
      <w:i/>
      <w:kern w:val="32"/>
      <w:sz w:val="32"/>
      <w:szCs w:val="32"/>
      <w:lang w:val="en-AU" w:eastAsia="en-AU" w:bidi="ar-SA"/>
    </w:rPr>
  </w:style>
  <w:style w:type="paragraph" w:customStyle="1" w:styleId="FSCtAmendingwords">
    <w:name w:val="FSC_t_Amending_words"/>
    <w:basedOn w:val="Normal"/>
    <w:qFormat/>
    <w:rsid w:val="00280892"/>
    <w:pPr>
      <w:keepLines/>
      <w:widowControl/>
      <w:spacing w:before="120"/>
      <w:ind w:left="1134"/>
    </w:pPr>
    <w:rPr>
      <w:rFonts w:cs="Arial"/>
      <w:iCs/>
      <w:sz w:val="24"/>
      <w:szCs w:val="22"/>
      <w:lang w:val="en-AU" w:eastAsia="en-AU" w:bidi="ar-SA"/>
    </w:rPr>
  </w:style>
  <w:style w:type="paragraph" w:customStyle="1" w:styleId="131ItemHeading">
    <w:name w:val="1.3.1 Item Heading"/>
    <w:basedOn w:val="Table2"/>
    <w:next w:val="Table2"/>
    <w:uiPriority w:val="22"/>
    <w:rsid w:val="00CB7716"/>
    <w:pPr>
      <w:keepNext/>
      <w:widowControl/>
      <w:tabs>
        <w:tab w:val="left" w:pos="851"/>
      </w:tabs>
      <w:spacing w:after="200"/>
      <w:ind w:left="0" w:firstLine="0"/>
    </w:pPr>
    <w:rPr>
      <w:b/>
      <w:bCs w:val="0"/>
      <w:caps/>
      <w:sz w:val="20"/>
      <w:lang w:bidi="ar-SA"/>
    </w:rPr>
  </w:style>
  <w:style w:type="paragraph" w:customStyle="1" w:styleId="131Subitemheading">
    <w:name w:val="1.3.1 Subitem heading"/>
    <w:basedOn w:val="131ItemHeading"/>
    <w:next w:val="Table2"/>
    <w:uiPriority w:val="22"/>
    <w:rsid w:val="00CB7716"/>
    <w:pPr>
      <w:spacing w:after="120"/>
    </w:pPr>
    <w:rPr>
      <w:caps w:val="0"/>
      <w:sz w:val="18"/>
    </w:rPr>
  </w:style>
  <w:style w:type="paragraph" w:customStyle="1" w:styleId="142Tableheading1">
    <w:name w:val="1.4.2 Table heading1"/>
    <w:basedOn w:val="Normal"/>
    <w:uiPriority w:val="22"/>
    <w:rsid w:val="00CB7716"/>
    <w:pPr>
      <w:keepNext/>
      <w:widowControl/>
      <w:spacing w:after="120"/>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rsid w:val="00CB7716"/>
    <w:rPr>
      <w:rFonts w:ascii="Arial" w:eastAsia="Times New Roman" w:hAnsi="Arial" w:cs="Times New Roman"/>
      <w:b w:val="0"/>
      <w:iCs w:val="0"/>
      <w:szCs w:val="20"/>
    </w:rPr>
  </w:style>
  <w:style w:type="paragraph" w:customStyle="1" w:styleId="142Tabletext1">
    <w:name w:val="1.4.2 Table text1"/>
    <w:basedOn w:val="Normal"/>
    <w:link w:val="142Tabletext1Char"/>
    <w:uiPriority w:val="22"/>
    <w:rsid w:val="00CB7716"/>
    <w:pPr>
      <w:widowControl/>
      <w:spacing w:after="120"/>
      <w:ind w:left="142" w:hanging="142"/>
    </w:pPr>
    <w:rPr>
      <w:sz w:val="18"/>
      <w:szCs w:val="20"/>
      <w:lang w:bidi="ar-SA"/>
    </w:rPr>
  </w:style>
  <w:style w:type="character" w:customStyle="1" w:styleId="142Tabletext1Char">
    <w:name w:val="1.4.2 Table text1 Char"/>
    <w:basedOn w:val="DefaultParagraphFont"/>
    <w:link w:val="142Tabletext1"/>
    <w:uiPriority w:val="22"/>
    <w:rsid w:val="00CB7716"/>
    <w:rPr>
      <w:rFonts w:ascii="Arial" w:hAnsi="Arial"/>
      <w:sz w:val="18"/>
      <w:lang w:eastAsia="en-US"/>
    </w:rPr>
  </w:style>
  <w:style w:type="paragraph" w:customStyle="1" w:styleId="142Tabletext2">
    <w:name w:val="1.4.2 Table text2"/>
    <w:basedOn w:val="142Tabletext1"/>
    <w:uiPriority w:val="22"/>
    <w:rsid w:val="00CB7716"/>
    <w:pPr>
      <w:jc w:val="right"/>
    </w:pPr>
  </w:style>
  <w:style w:type="paragraph" w:customStyle="1" w:styleId="Clause">
    <w:name w:val="Clause"/>
    <w:basedOn w:val="Normal"/>
    <w:next w:val="Normal"/>
    <w:link w:val="ClauseChar"/>
    <w:uiPriority w:val="10"/>
    <w:qFormat/>
    <w:rsid w:val="00CB7716"/>
    <w:pPr>
      <w:widowControl/>
      <w:tabs>
        <w:tab w:val="left" w:pos="851"/>
      </w:tabs>
      <w:spacing w:after="120"/>
    </w:pPr>
    <w:rPr>
      <w:sz w:val="20"/>
      <w:szCs w:val="20"/>
      <w:lang w:bidi="ar-SA"/>
    </w:rPr>
  </w:style>
  <w:style w:type="character" w:customStyle="1" w:styleId="ClauseChar">
    <w:name w:val="Clause Char"/>
    <w:basedOn w:val="DefaultParagraphFont"/>
    <w:link w:val="Clause"/>
    <w:uiPriority w:val="10"/>
    <w:rsid w:val="00CB7716"/>
    <w:rPr>
      <w:rFonts w:ascii="Arial" w:hAnsi="Arial"/>
      <w:lang w:eastAsia="en-US"/>
    </w:rPr>
  </w:style>
  <w:style w:type="paragraph" w:customStyle="1" w:styleId="Clauseheading">
    <w:name w:val="Clause heading"/>
    <w:basedOn w:val="Normal"/>
    <w:next w:val="Normal"/>
    <w:uiPriority w:val="14"/>
    <w:rsid w:val="00CB7716"/>
    <w:pPr>
      <w:keepNext/>
      <w:widowControl/>
      <w:tabs>
        <w:tab w:val="left" w:pos="851"/>
      </w:tabs>
      <w:spacing w:after="120"/>
    </w:pPr>
    <w:rPr>
      <w:b/>
      <w:sz w:val="20"/>
      <w:szCs w:val="20"/>
      <w:lang w:bidi="ar-SA"/>
    </w:rPr>
  </w:style>
  <w:style w:type="paragraph" w:customStyle="1" w:styleId="ClauseList">
    <w:name w:val="Clause List"/>
    <w:basedOn w:val="Clause"/>
    <w:next w:val="Normal"/>
    <w:uiPriority w:val="14"/>
    <w:rsid w:val="00CB7716"/>
    <w:pPr>
      <w:tabs>
        <w:tab w:val="clear" w:pos="851"/>
      </w:tabs>
      <w:ind w:left="851" w:hanging="851"/>
    </w:pPr>
  </w:style>
  <w:style w:type="paragraph" w:customStyle="1" w:styleId="Definition">
    <w:name w:val="Definition"/>
    <w:basedOn w:val="Normal"/>
    <w:next w:val="Normal"/>
    <w:uiPriority w:val="15"/>
    <w:rsid w:val="00CB7716"/>
    <w:pPr>
      <w:widowControl/>
      <w:spacing w:after="120"/>
      <w:ind w:left="1701" w:hanging="851"/>
    </w:pPr>
    <w:rPr>
      <w:sz w:val="20"/>
      <w:szCs w:val="20"/>
      <w:lang w:bidi="ar-SA"/>
    </w:rPr>
  </w:style>
  <w:style w:type="paragraph" w:customStyle="1" w:styleId="DivisionHeading">
    <w:name w:val="Division Heading"/>
    <w:basedOn w:val="Normal"/>
    <w:next w:val="Normal"/>
    <w:uiPriority w:val="15"/>
    <w:rsid w:val="00CB7716"/>
    <w:pPr>
      <w:keepNext/>
      <w:widowControl/>
      <w:tabs>
        <w:tab w:val="left" w:pos="851"/>
      </w:tabs>
      <w:spacing w:after="120"/>
      <w:jc w:val="center"/>
    </w:pPr>
    <w:rPr>
      <w:b/>
      <w:sz w:val="26"/>
      <w:szCs w:val="20"/>
      <w:lang w:bidi="ar-SA"/>
    </w:rPr>
  </w:style>
  <w:style w:type="paragraph" w:customStyle="1" w:styleId="EditorialNoteLine1">
    <w:name w:val="Editorial Note Line 1"/>
    <w:basedOn w:val="Normal"/>
    <w:next w:val="Normal"/>
    <w:uiPriority w:val="16"/>
    <w:rsid w:val="00CB7716"/>
    <w:pPr>
      <w:keepNext/>
      <w:widowControl/>
      <w:pBdr>
        <w:top w:val="single" w:sz="6" w:space="0" w:color="auto"/>
        <w:left w:val="single" w:sz="6" w:space="0" w:color="auto"/>
        <w:bottom w:val="single" w:sz="6" w:space="0" w:color="auto"/>
        <w:right w:val="single" w:sz="6" w:space="0" w:color="auto"/>
      </w:pBdr>
      <w:tabs>
        <w:tab w:val="left" w:pos="851"/>
      </w:tabs>
      <w:spacing w:after="120"/>
    </w:pPr>
    <w:rPr>
      <w:b/>
      <w:sz w:val="20"/>
      <w:szCs w:val="20"/>
      <w:lang w:bidi="ar-SA"/>
    </w:rPr>
  </w:style>
  <w:style w:type="paragraph" w:customStyle="1" w:styleId="EditorialNotetext">
    <w:name w:val="Editorial Note text"/>
    <w:basedOn w:val="EditorialNoteLine1"/>
    <w:uiPriority w:val="16"/>
    <w:rsid w:val="00CB7716"/>
    <w:pPr>
      <w:keepNext w:val="0"/>
    </w:pPr>
    <w:rPr>
      <w:b w:val="0"/>
    </w:rPr>
  </w:style>
  <w:style w:type="paragraph" w:customStyle="1" w:styleId="FSCaption">
    <w:name w:val="FSCaption"/>
    <w:basedOn w:val="Normal"/>
    <w:uiPriority w:val="9"/>
    <w:qFormat/>
    <w:rsid w:val="00CB7716"/>
    <w:pPr>
      <w:keepNext/>
      <w:keepLines/>
      <w:widowControl/>
      <w:spacing w:before="120" w:after="120"/>
    </w:pPr>
    <w:rPr>
      <w:rFonts w:eastAsiaTheme="minorHAnsi" w:cstheme="minorBidi"/>
      <w:i/>
      <w:sz w:val="16"/>
      <w:szCs w:val="16"/>
      <w:lang w:bidi="ar-SA"/>
    </w:rPr>
  </w:style>
  <w:style w:type="paragraph" w:customStyle="1" w:styleId="FSCFootnote">
    <w:name w:val="FSCFootnote"/>
    <w:basedOn w:val="Normal"/>
    <w:next w:val="Normal"/>
    <w:uiPriority w:val="17"/>
    <w:qFormat/>
    <w:rsid w:val="00CB7716"/>
    <w:pPr>
      <w:widowControl/>
      <w:spacing w:after="120"/>
    </w:pPr>
    <w:rPr>
      <w:sz w:val="16"/>
      <w:szCs w:val="20"/>
      <w:lang w:bidi="ar-SA"/>
    </w:rPr>
  </w:style>
  <w:style w:type="paragraph" w:customStyle="1" w:styleId="FSCFooter0">
    <w:name w:val="FSCFooter"/>
    <w:basedOn w:val="FSCFootnote"/>
    <w:uiPriority w:val="17"/>
    <w:qFormat/>
    <w:rsid w:val="00CB7716"/>
    <w:pPr>
      <w:tabs>
        <w:tab w:val="center" w:pos="4536"/>
        <w:tab w:val="right" w:pos="9070"/>
      </w:tabs>
    </w:pPr>
    <w:rPr>
      <w:sz w:val="18"/>
      <w:szCs w:val="18"/>
    </w:rPr>
  </w:style>
  <w:style w:type="paragraph" w:customStyle="1" w:styleId="FSPagenumber">
    <w:name w:val="FSPage number"/>
    <w:basedOn w:val="Normal"/>
    <w:uiPriority w:val="1"/>
    <w:qFormat/>
    <w:rsid w:val="00CB7716"/>
    <w:pPr>
      <w:widowControl/>
      <w:spacing w:after="120"/>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CB7716"/>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CB7716"/>
    <w:pPr>
      <w:keepNext/>
      <w:widowControl/>
      <w:spacing w:before="120" w:after="120"/>
      <w:ind w:left="1134" w:hanging="1134"/>
    </w:pPr>
    <w:rPr>
      <w:rFonts w:eastAsiaTheme="minorHAnsi" w:cstheme="minorBidi"/>
      <w:b/>
      <w:i/>
      <w:szCs w:val="22"/>
      <w:lang w:bidi="ar-SA"/>
    </w:rPr>
  </w:style>
  <w:style w:type="paragraph" w:customStyle="1" w:styleId="Paragraph">
    <w:name w:val="Paragraph"/>
    <w:basedOn w:val="Clause"/>
    <w:next w:val="Normal"/>
    <w:uiPriority w:val="12"/>
    <w:rsid w:val="00CB7716"/>
    <w:pPr>
      <w:tabs>
        <w:tab w:val="clear" w:pos="851"/>
      </w:tabs>
      <w:ind w:left="1702" w:hanging="851"/>
    </w:pPr>
  </w:style>
  <w:style w:type="paragraph" w:customStyle="1" w:styleId="ScheduleHeading">
    <w:name w:val="Schedule Heading"/>
    <w:basedOn w:val="Normal"/>
    <w:next w:val="Normal"/>
    <w:uiPriority w:val="18"/>
    <w:rsid w:val="00CB7716"/>
    <w:pPr>
      <w:widowControl/>
      <w:tabs>
        <w:tab w:val="left" w:pos="851"/>
      </w:tabs>
      <w:spacing w:after="120"/>
      <w:jc w:val="center"/>
    </w:pPr>
    <w:rPr>
      <w:b/>
      <w:caps/>
      <w:sz w:val="20"/>
      <w:szCs w:val="20"/>
      <w:lang w:bidi="ar-SA"/>
    </w:rPr>
  </w:style>
  <w:style w:type="paragraph" w:customStyle="1" w:styleId="Standardtitle">
    <w:name w:val="Standard title"/>
    <w:basedOn w:val="Normal"/>
    <w:uiPriority w:val="18"/>
    <w:rsid w:val="00CB7716"/>
    <w:pPr>
      <w:keepNext/>
      <w:widowControl/>
      <w:tabs>
        <w:tab w:val="left" w:pos="851"/>
      </w:tabs>
      <w:spacing w:after="120"/>
      <w:jc w:val="center"/>
    </w:pPr>
    <w:rPr>
      <w:b/>
      <w:i/>
      <w:iCs/>
      <w:caps/>
      <w:sz w:val="28"/>
      <w:szCs w:val="20"/>
      <w:lang w:bidi="ar-SA"/>
    </w:rPr>
  </w:style>
  <w:style w:type="paragraph" w:customStyle="1" w:styleId="Subclause">
    <w:name w:val="Subclause"/>
    <w:basedOn w:val="Clause"/>
    <w:uiPriority w:val="11"/>
    <w:qFormat/>
    <w:rsid w:val="00CB7716"/>
    <w:pPr>
      <w:ind w:left="567" w:hanging="567"/>
    </w:pPr>
  </w:style>
  <w:style w:type="paragraph" w:customStyle="1" w:styleId="Subparagraph">
    <w:name w:val="Subparagraph"/>
    <w:basedOn w:val="Paragraph"/>
    <w:next w:val="Normal"/>
    <w:uiPriority w:val="13"/>
    <w:rsid w:val="00CB7716"/>
    <w:pPr>
      <w:ind w:left="2553"/>
    </w:pPr>
  </w:style>
  <w:style w:type="paragraph" w:customStyle="1" w:styleId="TitleBorder">
    <w:name w:val="TitleBorder"/>
    <w:basedOn w:val="Normal"/>
    <w:uiPriority w:val="19"/>
    <w:rsid w:val="00CB7716"/>
    <w:pPr>
      <w:widowControl/>
      <w:pBdr>
        <w:bottom w:val="double" w:sz="6" w:space="0" w:color="auto"/>
      </w:pBdr>
      <w:tabs>
        <w:tab w:val="left" w:pos="851"/>
      </w:tabs>
      <w:spacing w:after="120"/>
    </w:pPr>
    <w:rPr>
      <w:sz w:val="20"/>
      <w:szCs w:val="20"/>
      <w:lang w:bidi="ar-SA"/>
    </w:rPr>
  </w:style>
  <w:style w:type="paragraph" w:styleId="Subtitle">
    <w:name w:val="Subtitle"/>
    <w:basedOn w:val="Normal"/>
    <w:next w:val="Normal"/>
    <w:link w:val="SubtitleChar"/>
    <w:uiPriority w:val="11"/>
    <w:rsid w:val="00CB7716"/>
    <w:pPr>
      <w:widowControl/>
      <w:numPr>
        <w:ilvl w:val="1"/>
      </w:numPr>
      <w:spacing w:after="120"/>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CB7716"/>
    <w:rPr>
      <w:rFonts w:asciiTheme="majorHAnsi" w:eastAsiaTheme="majorEastAsia" w:hAnsiTheme="majorHAnsi" w:cstheme="majorBidi"/>
      <w:i/>
      <w:iCs/>
      <w:color w:val="4F81BD" w:themeColor="accent1"/>
      <w:spacing w:val="15"/>
      <w:sz w:val="24"/>
      <w:szCs w:val="24"/>
      <w:lang w:eastAsia="en-US"/>
    </w:rPr>
  </w:style>
  <w:style w:type="paragraph" w:styleId="ListBullet">
    <w:name w:val="List Bullet"/>
    <w:basedOn w:val="Normal"/>
    <w:uiPriority w:val="99"/>
    <w:rsid w:val="00CB7716"/>
    <w:pPr>
      <w:widowControl/>
      <w:numPr>
        <w:numId w:val="54"/>
      </w:numPr>
      <w:spacing w:after="120" w:line="280" w:lineRule="atLeast"/>
      <w:jc w:val="both"/>
    </w:pPr>
    <w:rPr>
      <w:sz w:val="20"/>
      <w:szCs w:val="20"/>
      <w:lang w:val="en-AU" w:bidi="ar-SA"/>
    </w:rPr>
  </w:style>
  <w:style w:type="character" w:customStyle="1" w:styleId="BodyTextChar">
    <w:name w:val="Body Text Char"/>
    <w:basedOn w:val="DefaultParagraphFont"/>
    <w:link w:val="BodyText"/>
    <w:uiPriority w:val="99"/>
    <w:semiHidden/>
    <w:rsid w:val="00CB7716"/>
    <w:rPr>
      <w:rFonts w:ascii="Arial" w:hAnsi="Arial"/>
      <w:lang w:val="en-AU" w:eastAsia="en-AU"/>
    </w:rPr>
  </w:style>
  <w:style w:type="paragraph" w:styleId="BodyText">
    <w:name w:val="Body Text"/>
    <w:basedOn w:val="Normal"/>
    <w:link w:val="BodyTextChar"/>
    <w:uiPriority w:val="99"/>
    <w:semiHidden/>
    <w:unhideWhenUsed/>
    <w:rsid w:val="00CB7716"/>
    <w:pPr>
      <w:widowControl/>
      <w:spacing w:before="180" w:after="120" w:line="280" w:lineRule="atLeast"/>
    </w:pPr>
    <w:rPr>
      <w:sz w:val="20"/>
      <w:szCs w:val="20"/>
      <w:lang w:val="en-AU" w:eastAsia="en-AU" w:bidi="ar-SA"/>
    </w:rPr>
  </w:style>
  <w:style w:type="paragraph" w:customStyle="1" w:styleId="AARBullet">
    <w:name w:val="AAR Bullet"/>
    <w:basedOn w:val="Normal"/>
    <w:uiPriority w:val="99"/>
    <w:qFormat/>
    <w:rsid w:val="00CB7716"/>
    <w:pPr>
      <w:widowControl/>
      <w:numPr>
        <w:numId w:val="55"/>
      </w:numPr>
      <w:spacing w:before="60" w:after="120"/>
      <w:contextualSpacing/>
    </w:pPr>
    <w:rPr>
      <w:rFonts w:cs="Arial"/>
      <w:lang w:val="en-AU" w:bidi="ar-SA"/>
    </w:rPr>
  </w:style>
  <w:style w:type="paragraph" w:customStyle="1" w:styleId="TableText">
    <w:name w:val="TableText"/>
    <w:basedOn w:val="Normal"/>
    <w:qFormat/>
    <w:rsid w:val="00CB7716"/>
    <w:pPr>
      <w:widowControl/>
      <w:spacing w:before="120" w:after="120"/>
    </w:pPr>
    <w:rPr>
      <w:rFonts w:eastAsiaTheme="majorEastAsia" w:cs="Arial"/>
      <w:bCs/>
      <w:sz w:val="20"/>
      <w:szCs w:val="20"/>
      <w:lang w:val="en-AU" w:bidi="ar-SA"/>
    </w:rPr>
  </w:style>
  <w:style w:type="paragraph" w:customStyle="1" w:styleId="TableName">
    <w:name w:val="TableName"/>
    <w:basedOn w:val="Normal"/>
    <w:qFormat/>
    <w:rsid w:val="00CB7716"/>
    <w:pPr>
      <w:keepNext/>
      <w:widowControl/>
      <w:spacing w:after="120"/>
    </w:pPr>
    <w:rPr>
      <w:rFonts w:eastAsiaTheme="minorEastAsia" w:cs="Arial"/>
      <w:szCs w:val="22"/>
      <w:lang w:val="en-AU" w:bidi="ar-SA"/>
    </w:rPr>
  </w:style>
  <w:style w:type="paragraph" w:customStyle="1" w:styleId="Pa14">
    <w:name w:val="Pa14"/>
    <w:basedOn w:val="Default"/>
    <w:next w:val="Default"/>
    <w:uiPriority w:val="99"/>
    <w:rsid w:val="00CB7716"/>
    <w:pPr>
      <w:spacing w:line="201" w:lineRule="atLeast"/>
    </w:pPr>
    <w:rPr>
      <w:rFonts w:ascii="Helvetica 65 Medium" w:eastAsiaTheme="minorHAnsi" w:hAnsi="Helvetica 65 Medium" w:cstheme="minorBidi"/>
      <w:color w:val="auto"/>
      <w:lang w:val="en-GB" w:eastAsia="en-US"/>
    </w:rPr>
  </w:style>
  <w:style w:type="table" w:styleId="GridTable5Dark-Accent6">
    <w:name w:val="Grid Table 5 Dark Accent 6"/>
    <w:basedOn w:val="TableNormal"/>
    <w:uiPriority w:val="50"/>
    <w:rsid w:val="00CB7716"/>
    <w:rPr>
      <w:rFonts w:ascii="Arial" w:eastAsiaTheme="minorHAnsi" w:hAnsi="Arial" w:cs="Arial"/>
      <w:sz w:val="22"/>
      <w:szCs w:val="22"/>
      <w:lang w:val="en-AU"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2-Accent3">
    <w:name w:val="Grid Table 2 Accent 3"/>
    <w:basedOn w:val="TableNormal"/>
    <w:uiPriority w:val="47"/>
    <w:rsid w:val="00CB7716"/>
    <w:rPr>
      <w:rFonts w:ascii="Arial" w:eastAsiaTheme="minorHAnsi" w:hAnsi="Arial" w:cs="Arial"/>
      <w:sz w:val="22"/>
      <w:szCs w:val="22"/>
      <w:lang w:val="en-AU"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CB7716"/>
    <w:rPr>
      <w:rFonts w:ascii="Arial" w:eastAsiaTheme="minorHAnsi" w:hAnsi="Arial" w:cs="Arial"/>
      <w:sz w:val="22"/>
      <w:szCs w:val="22"/>
      <w:lang w:val="en-AU"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B7716"/>
    <w:rPr>
      <w:rFonts w:ascii="Arial" w:eastAsiaTheme="minorHAnsi" w:hAnsi="Arial" w:cs="Arial"/>
      <w:sz w:val="22"/>
      <w:szCs w:val="22"/>
      <w:lang w:val="en-AU"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4">
    <w:name w:val="Grid Table 4 Accent 4"/>
    <w:basedOn w:val="TableNormal"/>
    <w:uiPriority w:val="49"/>
    <w:rsid w:val="00CB7716"/>
    <w:rPr>
      <w:rFonts w:ascii="Arial" w:eastAsiaTheme="minorHAnsi" w:hAnsi="Arial" w:cs="Arial"/>
      <w:sz w:val="22"/>
      <w:szCs w:val="22"/>
      <w:lang w:val="en-AU"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ISCbulleted">
    <w:name w:val="ISC bulleted"/>
    <w:basedOn w:val="Normal"/>
    <w:rsid w:val="00CB7716"/>
    <w:pPr>
      <w:widowControl/>
      <w:numPr>
        <w:numId w:val="56"/>
      </w:numPr>
      <w:tabs>
        <w:tab w:val="left" w:pos="567"/>
      </w:tabs>
      <w:spacing w:after="120"/>
    </w:pPr>
    <w:rPr>
      <w:rFonts w:ascii="Times New Roman" w:hAnsi="Times New Roman"/>
      <w:sz w:val="24"/>
      <w:lang w:val="en-AU" w:eastAsia="en-AU" w:bidi="ar-SA"/>
    </w:rPr>
  </w:style>
  <w:style w:type="table" w:styleId="GridTable2">
    <w:name w:val="Grid Table 2"/>
    <w:basedOn w:val="TableNormal"/>
    <w:uiPriority w:val="47"/>
    <w:rsid w:val="00CB7716"/>
    <w:rPr>
      <w:rFonts w:ascii="Arial" w:eastAsiaTheme="minorHAnsi" w:hAnsi="Arial" w:cs="Arial"/>
      <w:sz w:val="22"/>
      <w:szCs w:val="22"/>
      <w:lang w:val="en-AU"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EndnoteTextChar">
    <w:name w:val="Endnote Text Char"/>
    <w:basedOn w:val="DefaultParagraphFont"/>
    <w:link w:val="EndnoteText"/>
    <w:uiPriority w:val="99"/>
    <w:semiHidden/>
    <w:rsid w:val="00CB7716"/>
    <w:rPr>
      <w:rFonts w:ascii="Arial" w:eastAsiaTheme="minorHAnsi" w:hAnsi="Arial" w:cstheme="minorBidi"/>
      <w:lang w:eastAsia="en-US"/>
    </w:rPr>
  </w:style>
  <w:style w:type="paragraph" w:styleId="EndnoteText">
    <w:name w:val="endnote text"/>
    <w:basedOn w:val="Normal"/>
    <w:link w:val="EndnoteTextChar"/>
    <w:uiPriority w:val="99"/>
    <w:semiHidden/>
    <w:unhideWhenUsed/>
    <w:rsid w:val="00CB7716"/>
    <w:pPr>
      <w:widowControl/>
    </w:pPr>
    <w:rPr>
      <w:rFonts w:eastAsiaTheme="minorHAnsi" w:cstheme="minorBidi"/>
      <w:sz w:val="20"/>
      <w:szCs w:val="20"/>
      <w:lang w:bidi="ar-SA"/>
    </w:rPr>
  </w:style>
  <w:style w:type="table" w:styleId="GridTable4">
    <w:name w:val="Grid Table 4"/>
    <w:basedOn w:val="TableNormal"/>
    <w:uiPriority w:val="49"/>
    <w:rsid w:val="00A94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A9481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0">
    <w:name w:val="paragraph"/>
    <w:basedOn w:val="Normal"/>
    <w:rsid w:val="003C41B8"/>
    <w:pPr>
      <w:widowControl/>
      <w:spacing w:before="100" w:beforeAutospacing="1" w:after="100" w:afterAutospacing="1"/>
    </w:pPr>
    <w:rPr>
      <w:rFonts w:ascii="Times New Roman" w:hAnsi="Times New Roman"/>
      <w:sz w:val="24"/>
      <w:lang w:eastAsia="en-GB" w:bidi="ar-SA"/>
    </w:rPr>
  </w:style>
  <w:style w:type="character" w:styleId="UnresolvedMention">
    <w:name w:val="Unresolved Mention"/>
    <w:basedOn w:val="DefaultParagraphFont"/>
    <w:uiPriority w:val="99"/>
    <w:semiHidden/>
    <w:unhideWhenUsed/>
    <w:rsid w:val="00595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9995915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744298838">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21123261">
      <w:bodyDiv w:val="1"/>
      <w:marLeft w:val="0"/>
      <w:marRight w:val="0"/>
      <w:marTop w:val="0"/>
      <w:marBottom w:val="0"/>
      <w:divBdr>
        <w:top w:val="none" w:sz="0" w:space="0" w:color="auto"/>
        <w:left w:val="none" w:sz="0" w:space="0" w:color="auto"/>
        <w:bottom w:val="none" w:sz="0" w:space="0" w:color="auto"/>
        <w:right w:val="none" w:sz="0" w:space="0" w:color="auto"/>
      </w:divBdr>
    </w:div>
    <w:div w:id="1374815638">
      <w:bodyDiv w:val="1"/>
      <w:marLeft w:val="0"/>
      <w:marRight w:val="0"/>
      <w:marTop w:val="0"/>
      <w:marBottom w:val="0"/>
      <w:divBdr>
        <w:top w:val="none" w:sz="0" w:space="0" w:color="auto"/>
        <w:left w:val="none" w:sz="0" w:space="0" w:color="auto"/>
        <w:bottom w:val="none" w:sz="0" w:space="0" w:color="auto"/>
        <w:right w:val="none" w:sz="0" w:space="0" w:color="auto"/>
      </w:divBdr>
    </w:div>
    <w:div w:id="1621298643">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ing.com/ck/a?!&amp;&amp;p=a125e583c2fec48200031e4e8edd86ac34fea95fdc49a902ced0bdfb01454fcbJmltdHM9MTY1Mjc2NTk4NyZpZ3VpZD03NzZlNThhZi0xZjA2LTRhNjQtYTM0My03NzBhMGE3MDQ0MGImaW5zaWQ9NTE5NA&amp;ptn=3&amp;fclid=c310bcba-d5a3-11ec-974e-c80037d8d8ca&amp;u=a1aHR0cHM6Ly93d3cubGVnaXNsYXRpb24uZ292LmF1L0RldGFpbHMvQzIwMTZDMDAxNDc&amp;ntb=1" TargetMode="External"/><Relationship Id="rId21" Type="http://schemas.openxmlformats.org/officeDocument/2006/relationships/hyperlink" Target="https://www.foodstandards.gov.au/code/proposals/Documents/P1053%20CFS%20SD1_CRIS.pdf" TargetMode="External"/><Relationship Id="rId42" Type="http://schemas.openxmlformats.org/officeDocument/2006/relationships/header" Target="header3.xml"/><Relationship Id="rId47" Type="http://schemas.openxmlformats.org/officeDocument/2006/relationships/hyperlink" Target="https://webarchive.nla.gov.au/awa/20151020103533/http:/www.health.gov.au/internet/main/publishing.nsf/Content/foodsecretariat-isc-model.htm" TargetMode="External"/><Relationship Id="rId63" Type="http://schemas.openxmlformats.org/officeDocument/2006/relationships/hyperlink" Target="http://www.health.gov.au/internet/main/publishing.nsf/Content/cda-pubs-annlrpt-ozfnetar.htm" TargetMode="External"/><Relationship Id="rId68" Type="http://schemas.openxmlformats.org/officeDocument/2006/relationships/hyperlink" Target="https://doi.org/10.3201/eid2011.131315" TargetMode="External"/><Relationship Id="rId16"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hyperlink" Target="https://foodregulation.gov.au/internet/fr/publishing.nsf/Content/aus-foodborne-illness-reduction-strategy-2018-2021-Jun-2018" TargetMode="External"/><Relationship Id="rId32" Type="http://schemas.openxmlformats.org/officeDocument/2006/relationships/hyperlink" Target="https://www.foodstandards.gov.au/code/proposals/Documents/CFS%20SD2_Micro%20risk%20profile.docx" TargetMode="External"/><Relationship Id="rId37" Type="http://schemas.openxmlformats.org/officeDocument/2006/relationships/hyperlink" Target="https://webarchive.nla.gov.au/awa/20151020103533/http:/www.health.gov.au/internet/main/publishing.nsf/Content/foodsecretariat-isc-model.htm" TargetMode="External"/><Relationship Id="rId40" Type="http://schemas.openxmlformats.org/officeDocument/2006/relationships/hyperlink" Target="http://www.legislation.gov.au" TargetMode="External"/><Relationship Id="rId45" Type="http://schemas.openxmlformats.org/officeDocument/2006/relationships/header" Target="header5.xml"/><Relationship Id="rId53" Type="http://schemas.openxmlformats.org/officeDocument/2006/relationships/hyperlink" Target="https://foodregulation.gov.au/internet/fr/publishing.nsf/Content/risk-profiling-framework" TargetMode="External"/><Relationship Id="rId58" Type="http://schemas.openxmlformats.org/officeDocument/2006/relationships/hyperlink" Target="http://agriculture.gov.au/abares/publications/display?url=http://143.188.17.20/anrdl/DAFFService/display.php?fid=pb_fdati9aat20180822.xml" TargetMode="External"/><Relationship Id="rId66" Type="http://schemas.openxmlformats.org/officeDocument/2006/relationships/hyperlink" Target="https://treasury.gov.au/sites/default/files/2019-03/final_report.pdf"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health.gov.au/internet/main/publishing.nsf/Content/cda-pubs-annlrpt-ozfnetar.htm" TargetMode="External"/><Relationship Id="rId19" Type="http://schemas.openxmlformats.org/officeDocument/2006/relationships/footer" Target="footer3.xml"/><Relationship Id="rId14" Type="http://schemas.openxmlformats.org/officeDocument/2006/relationships/hyperlink" Target="https://www.foodstandards.gov.au/code/proposals/Pages/P1053.aspx" TargetMode="External"/><Relationship Id="rId22" Type="http://schemas.openxmlformats.org/officeDocument/2006/relationships/hyperlink" Target="https://www.foodstandards.gov.au/code/proposals/Documents/CFS%20SD2_Micro%20risk%20profile.pdf" TargetMode="External"/><Relationship Id="rId27" Type="http://schemas.openxmlformats.org/officeDocument/2006/relationships/hyperlink" Target="https://www.foodstandards.gov.au/code/proposals/Documents/CFS%20SD2_Micro%20risk%20profile.pdf" TargetMode="External"/><Relationship Id="rId30" Type="http://schemas.openxmlformats.org/officeDocument/2006/relationships/hyperlink" Target="https://www.foodstandards.gov.au/code/proposals/Documents/CFS%20SD2_Micro%20risk%20profile.pdf" TargetMode="External"/><Relationship Id="rId35" Type="http://schemas.openxmlformats.org/officeDocument/2006/relationships/hyperlink" Target="https://www.foodstandards.gov.au/code/proposals/Documents/CFS%20SD2_Micro%20risk%20profile.pdf" TargetMode="External"/><Relationship Id="rId43" Type="http://schemas.openxmlformats.org/officeDocument/2006/relationships/header" Target="header4.xml"/><Relationship Id="rId48" Type="http://schemas.openxmlformats.org/officeDocument/2006/relationships/hyperlink" Target="http://www.foodstandards.gov.au/code/Pages/default.aspx" TargetMode="External"/><Relationship Id="rId56" Type="http://schemas.openxmlformats.org/officeDocument/2006/relationships/hyperlink" Target="http://www.foodstandards.gov.au/foodsafety/standards/Pages/Safe-Food-Australia-%E2%80%93-A-guide-to-the-Food-Safety-Standards.aspx" TargetMode="External"/><Relationship Id="rId64" Type="http://schemas.openxmlformats.org/officeDocument/2006/relationships/hyperlink" Target="http://www.health.gov.au/internet/main/publishing.nsf/Content/cda-pubs-annlrpt-ozfnetar.htm" TargetMode="External"/><Relationship Id="rId69" Type="http://schemas.openxmlformats.org/officeDocument/2006/relationships/hyperlink" Target="https://obpr.pmc.gov.au/resources/guidance-assessing-impacts/cost-benefit-analysis" TargetMode="External"/><Relationship Id="rId77" Type="http://schemas.microsoft.com/office/2020/10/relationships/intelligence" Target="intelligence2.xml"/><Relationship Id="rId8" Type="http://schemas.openxmlformats.org/officeDocument/2006/relationships/styles" Target="styles.xml"/><Relationship Id="rId51" Type="http://schemas.openxmlformats.org/officeDocument/2006/relationships/hyperlink" Target="https://dofoodsafely.health.vic.gov.au/index.php/en/" TargetMode="External"/><Relationship Id="rId72" Type="http://schemas.openxmlformats.org/officeDocument/2006/relationships/hyperlink" Target="https://www.foodauthority.nsw.gov.au/sites/default/files/_Documents/fss/fss_evaluation.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foodstandards.gov.au/code/proposals/Documents/CFS%20SD2_Micro%20risk%20profile.pdf" TargetMode="External"/><Relationship Id="rId33" Type="http://schemas.openxmlformats.org/officeDocument/2006/relationships/hyperlink" Target="https://www.foodstandards.gov.au/code/proposals/Documents/CFS%20SD2_Micro%20risk%20profile.docx" TargetMode="External"/><Relationship Id="rId38" Type="http://schemas.openxmlformats.org/officeDocument/2006/relationships/hyperlink" Target="https://www1.health.gov.au/internet/fr/publishing.nsf/Content/37F08208FAC6F504CA2582A40027AA90/$File/FRSC-RPF-ECE.pdf" TargetMode="External"/><Relationship Id="rId46" Type="http://schemas.openxmlformats.org/officeDocument/2006/relationships/footer" Target="footer5.xml"/><Relationship Id="rId59" Type="http://schemas.openxmlformats.org/officeDocument/2006/relationships/hyperlink" Target="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 TargetMode="External"/><Relationship Id="rId67" Type="http://schemas.openxmlformats.org/officeDocument/2006/relationships/hyperlink" Target="https://www.sciencedirect.com/science/article/pii/S0956713504001975" TargetMode="External"/><Relationship Id="rId20" Type="http://schemas.openxmlformats.org/officeDocument/2006/relationships/hyperlink" Target="https://www.foodstandards.gov.au/code/proposals/Pages/P1053.aspx" TargetMode="External"/><Relationship Id="rId41" Type="http://schemas.openxmlformats.org/officeDocument/2006/relationships/hyperlink" Target="http://www.legislation.gov.au" TargetMode="External"/><Relationship Id="rId54" Type="http://schemas.openxmlformats.org/officeDocument/2006/relationships/hyperlink" Target="https://foodregulation.gov.au/internet/fr/publishing.nsf/Content/publication-Food-Safety-Management-Policy-Guideline-for-the-retail-and-food-service-sectors%20accessed%20December%202019" TargetMode="External"/><Relationship Id="rId62" Type="http://schemas.openxmlformats.org/officeDocument/2006/relationships/hyperlink" Target="http://www.health.gov.au/internet/main/publishing.nsf/Content/cda-pubs-annlrpt-ozfnetar.htm" TargetMode="External"/><Relationship Id="rId70" Type="http://schemas.openxmlformats.org/officeDocument/2006/relationships/hyperlink" Target="http://www.fao.org/fao-who-codexalimentarius/meetings/en/"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foodstandards.gov.au/code/proposals/Documents/P1053%20CFS%20report.pdf" TargetMode="External"/><Relationship Id="rId28" Type="http://schemas.openxmlformats.org/officeDocument/2006/relationships/hyperlink" Target="https://www1.health.gov.au/internet/main/publishing.nsf/Content/cdna-ozfoodnet.htm" TargetMode="External"/><Relationship Id="rId36" Type="http://schemas.openxmlformats.org/officeDocument/2006/relationships/hyperlink" Target="https://foodregulation.gov.au/internet/fr/publishing.nsf/Content/ISFR" TargetMode="External"/><Relationship Id="rId49" Type="http://schemas.openxmlformats.org/officeDocument/2006/relationships/hyperlink" Target="https://imalert.com.au/v6/?sub=health-act" TargetMode="External"/><Relationship Id="rId57" Type="http://schemas.openxmlformats.org/officeDocument/2006/relationships/hyperlink" Target="https://www.foodstandards.gov.au/code/proposals/Documents/CFS%20SD2_Micro%20risk%20profile.pdf" TargetMode="External"/><Relationship Id="rId10" Type="http://schemas.openxmlformats.org/officeDocument/2006/relationships/webSettings" Target="webSettings.xml"/><Relationship Id="rId31" Type="http://schemas.openxmlformats.org/officeDocument/2006/relationships/hyperlink" Target="https://www.foodstandards.gov.au/code/proposals/Documents/CFS%20SD2_Micro%20risk%20profile.docx" TargetMode="External"/><Relationship Id="rId44" Type="http://schemas.openxmlformats.org/officeDocument/2006/relationships/footer" Target="footer4.xml"/><Relationship Id="rId52" Type="http://schemas.openxmlformats.org/officeDocument/2006/relationships/hyperlink" Target="http://www.health.gov.au/internet/main/publishing.nsf/Content/cda-pubs-annlrpt-ozfnetar.htm" TargetMode="External"/><Relationship Id="rId60" Type="http://schemas.openxmlformats.org/officeDocument/2006/relationships/hyperlink" Target="https://www.foodauthority.nsw.gov.au/media/6876%20accessed%2023/08/2019" TargetMode="External"/><Relationship Id="rId65" Type="http://schemas.openxmlformats.org/officeDocument/2006/relationships/hyperlink" Target="https://foodregulation.gov.au/internet/fr/publishing.nsf/Content/37F08208FAC6F504CA2582A40027AA90/$File/FRSC-RPF-ECE.docx" TargetMode="External"/><Relationship Id="rId73" Type="http://schemas.openxmlformats.org/officeDocument/2006/relationships/hyperlink" Target="https://www.foodstandards.gov.au/code/proposals/Documents/CFS%20SD2_Micro%20risk%20profile.pdf"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9" Type="http://schemas.openxmlformats.org/officeDocument/2006/relationships/image" Target="media/image2.png"/><Relationship Id="rId34" Type="http://schemas.openxmlformats.org/officeDocument/2006/relationships/hyperlink" Target="https://www.foodstandards.gov.au/code/proposals/Documents/CFS%20SD2_Micro%20risk%20profile.pdf" TargetMode="External"/><Relationship Id="rId50" Type="http://schemas.openxmlformats.org/officeDocument/2006/relationships/hyperlink" Target="https://www.imalert.com.au/v6/?sub=nt" TargetMode="External"/><Relationship Id="rId55" Type="http://schemas.openxmlformats.org/officeDocument/2006/relationships/hyperlink" Target="https://www.foodstandards.gov.au/publications/documents/2007%20NFHS%20Interpretive%20Summary%20FINAL.pdf"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https://www1.health.gov.au/internet/fr/publishing.nsf/Content/3139DD4B7DF3E23ACA25822F0004BFDD/$File/AusFIRS18-22CD.pdf" TargetMode="External"/><Relationship Id="rId29" Type="http://schemas.openxmlformats.org/officeDocument/2006/relationships/hyperlink" Target="https://www1.health.gov.au/internet/fr/publishing.nsf/Content/37F08208FAC6F504CA2582A40027AA90/$File/FRSC-RPF2007.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ealth.vic.gov.au/food-safety/food-business-classification" TargetMode="External"/><Relationship Id="rId13" Type="http://schemas.openxmlformats.org/officeDocument/2006/relationships/hyperlink" Target="https://www.health.act.gov.au/businesses/food-safety-regulation/starting-food-business" TargetMode="External"/><Relationship Id="rId3" Type="http://schemas.openxmlformats.org/officeDocument/2006/relationships/hyperlink" Target="https://foodregulation.gov.au/internet/fr/publishing.nsf/Content/publication-stategic-statement" TargetMode="External"/><Relationship Id="rId7" Type="http://schemas.openxmlformats.org/officeDocument/2006/relationships/hyperlink" Target="https://www.qld.gov.au/health/staying-healthy/food-pantry/starting-a-food-business/food-business-licences/do-i-need-a-food-business-licence" TargetMode="External"/><Relationship Id="rId12" Type="http://schemas.openxmlformats.org/officeDocument/2006/relationships/hyperlink" Target="https://www1.health.gov.au/internet/main/Publishing.nsf/Content/cda-surveil-nndss-nndssintro.htm" TargetMode="External"/><Relationship Id="rId2" Type="http://schemas.openxmlformats.org/officeDocument/2006/relationships/hyperlink" Target="https://www.foodstandards.gov.au/foodsafety/standards/Pages/Review-of-Standard-4.2.5-%E2%80%93-Primary-production-and-processing-standard-for-eggs-and-egg-products.aspx" TargetMode="External"/><Relationship Id="rId16" Type="http://schemas.openxmlformats.org/officeDocument/2006/relationships/hyperlink" Target="https://www.dairysafe.vic.gov.au/licensees/dairy-regtech/foodsafetyculture" TargetMode="External"/><Relationship Id="rId1" Type="http://schemas.openxmlformats.org/officeDocument/2006/relationships/hyperlink" Target="https://www.foodstandards.gov.au/foodsafety/standards/review/Pages/default.aspx" TargetMode="External"/><Relationship Id="rId6" Type="http://schemas.openxmlformats.org/officeDocument/2006/relationships/hyperlink" Target="https://www.foodstandards.gov.au/publications/documents/ANZFA_1578_Info_Paper__final.pdf" TargetMode="External"/><Relationship Id="rId11" Type="http://schemas.openxmlformats.org/officeDocument/2006/relationships/hyperlink" Target="file:///C:/Users/kolstl/AppData/Local/Microsoft/Windows/Forms/AllItems.aspx?RootFolder=/proposals/P1053/Shared%20Documents/Working%20folder/Discussion%20paper%20jan%202020&amp;FolderCTID=0x012000ECEBC2148C5B1547952B8AB1F5FE26FF&amp;View=%7bBAAAF22B-48E5-4468-A408-5982B0920ED4%7d" TargetMode="External"/><Relationship Id="rId5" Type="http://schemas.openxmlformats.org/officeDocument/2006/relationships/hyperlink" Target="https://foodregulation.gov.au/internet/fr/publishing.nsf/Content/risk-profiling-framework" TargetMode="External"/><Relationship Id="rId15" Type="http://schemas.openxmlformats.org/officeDocument/2006/relationships/hyperlink" Target="https://webarchive.nla.gov.au/awa/20151020103533/http://www.health.gov.au/internet/main/publishing.nsf/Content/foodsecretariat-isc-model.htm" TargetMode="External"/><Relationship Id="rId10" Type="http://schemas.openxmlformats.org/officeDocument/2006/relationships/hyperlink" Target="https://foodregulation.gov.au/internet/fr/publishing.nsf/Content/aus-foodborne-illness-reduction-strategy-2018-2021-Jun-2018" TargetMode="External"/><Relationship Id="rId4" Type="http://schemas.openxmlformats.org/officeDocument/2006/relationships/hyperlink" Target="https://obpr.pmc.gov.au/resources/guidance-impact-analysis/regulatory-impact-analysis-guide-ministers-meetings-and-national" TargetMode="External"/><Relationship Id="rId9" Type="http://schemas.openxmlformats.org/officeDocument/2006/relationships/hyperlink" Target="https://ww2.health.wa.gov.au/~/media/Files/Corporate/general%20documents/food/PDF/WA_Food_Regulation_Food_Business_Risk_Profiling.pdf" TargetMode="External"/><Relationship Id="rId14" Type="http://schemas.openxmlformats.org/officeDocument/2006/relationships/hyperlink" Target="https://www.foodstandards.gov.au/code/proposals/Documents/CFS%20SD3_draft%20implementation%20information%20for%20business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8E0A4F0F7E48508E0065074B3466B1"/>
        <w:category>
          <w:name w:val="General"/>
          <w:gallery w:val="placeholder"/>
        </w:category>
        <w:types>
          <w:type w:val="bbPlcHdr"/>
        </w:types>
        <w:behaviors>
          <w:behavior w:val="content"/>
        </w:behaviors>
        <w:guid w:val="{86358DD0-28FF-44E4-9E45-5A66AD183ED6}"/>
      </w:docPartPr>
      <w:docPartBody>
        <w:p w:rsidR="008E61D8" w:rsidRDefault="008E61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59"/>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65 Medium">
    <w:charset w:val="00"/>
    <w:family w:val="auto"/>
    <w:pitch w:val="variable"/>
    <w:sig w:usb0="E00002FF" w:usb1="50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altName w:val="Times New Roman"/>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D8"/>
    <w:rsid w:val="00153F0F"/>
    <w:rsid w:val="00174C96"/>
    <w:rsid w:val="001D43D6"/>
    <w:rsid w:val="001F264F"/>
    <w:rsid w:val="00244B6A"/>
    <w:rsid w:val="0030230C"/>
    <w:rsid w:val="00387B80"/>
    <w:rsid w:val="003D29EB"/>
    <w:rsid w:val="00420717"/>
    <w:rsid w:val="004338FD"/>
    <w:rsid w:val="00491B04"/>
    <w:rsid w:val="004B6C0B"/>
    <w:rsid w:val="00562A70"/>
    <w:rsid w:val="005D3852"/>
    <w:rsid w:val="00614273"/>
    <w:rsid w:val="007641FC"/>
    <w:rsid w:val="00883908"/>
    <w:rsid w:val="008E61D8"/>
    <w:rsid w:val="00A75C39"/>
    <w:rsid w:val="00B316FC"/>
    <w:rsid w:val="00D2660F"/>
    <w:rsid w:val="00E37D1F"/>
    <w:rsid w:val="00FD36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2.xml><?xml version="1.0" encoding="utf-8"?>
<b:Sources xmlns:b="http://schemas.openxmlformats.org/officeDocument/2006/bibliography" xmlns="http://schemas.openxmlformats.org/officeDocument/2006/bibliography" SelectedStyle="\APA.XSL" StyleName="APA">
  <b:Source>
    <b:Tag>The02</b:Tag>
    <b:SourceType>Report</b:SourceType>
    <b:Guid>{AD97C96B-76EF-4A9B-964E-1698895067E2}</b:Guid>
    <b:Author>
      <b:Author>
        <b:Corporate>The Allen Consulting Group</b:Corporate>
      </b:Author>
    </b:Author>
    <b:Title>Food Safety Management Systems; Costs, Benefits and Alternatives</b:Title>
    <b:Year>2002</b:Year>
    <b:Publisher>Commonwealth Department of Health and Aging</b:Publisher>
    <b:City>Canberra</b:City>
    <b:RefOrder>1</b:RefOrder>
  </b:Source>
  <b:Source>
    <b:Tag>NSW09</b:Tag>
    <b:SourceType>Report</b:SourceType>
    <b:Guid>{D5479DD4-184B-4F1E-B474-792D4F425CE4}</b:Guid>
    <b:Author>
      <b:Author>
        <b:Corporate>NSW Food Authority</b:Corporate>
      </b:Author>
    </b:Author>
    <b:Title>Better Regulation Statement; Food Handler Training Initiative - Food Safety Supervisor requirement for NSW hospitality businesses</b:Title>
    <b:Year>2009</b:Year>
    <b:Publisher>NSW Food Authority</b:Publisher>
    <b:City>Sydney</b:City>
    <b:RefOrder>2</b:RefOrder>
  </b:Source>
  <b:Source>
    <b:Tag>Foo02</b:Tag>
    <b:SourceType>Report</b:SourceType>
    <b:Guid>{29ED41A5-6A93-4DC9-AEE9-42D8E016BAF0}</b:Guid>
    <b:Author>
      <b:Author>
        <b:Corporate>Food Science Australia and Minter Ellison Consulting</b:Corporate>
      </b:Author>
    </b:Author>
    <b:Title>National Risk Validation Project Final Report</b:Title>
    <b:Year>2002</b:Year>
    <b:Publisher>NSW Department of Health &amp; the Commonwealth Department of Health and Aging</b:Publisher>
    <b:City>Canberra</b:City>
    <b:RefOrder>3</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b:Source>
    <b:Tag>The02</b:Tag>
    <b:SourceType>Report</b:SourceType>
    <b:Guid>{AD97C96B-76EF-4A9B-964E-1698895067E2}</b:Guid>
    <b:Author>
      <b:Author>
        <b:Corporate>The Allen Consulting Group</b:Corporate>
      </b:Author>
    </b:Author>
    <b:Title>Food Safety Management Systems; Costs, Benefits and Alternatives</b:Title>
    <b:Year>2002</b:Year>
    <b:Publisher>Commonwealth Department of Health and Aging</b:Publisher>
    <b:City>Canberra</b:City>
    <b:RefOrder>1</b:RefOrder>
  </b:Source>
  <b:Source>
    <b:Tag>NSW09</b:Tag>
    <b:SourceType>Report</b:SourceType>
    <b:Guid>{D5479DD4-184B-4F1E-B474-792D4F425CE4}</b:Guid>
    <b:Author>
      <b:Author>
        <b:Corporate>NSW Food Authority</b:Corporate>
      </b:Author>
    </b:Author>
    <b:Title>Better Regulation Statement; Food Handler Training Initiative - Food Safety Supervisor requirement for NSW hospitality businesses</b:Title>
    <b:Year>2009</b:Year>
    <b:Publisher>NSW Food Authority</b:Publisher>
    <b:City>Sydney</b:City>
    <b:RefOrder>2</b:RefOrder>
  </b:Source>
  <b:Source>
    <b:Tag>Foo02</b:Tag>
    <b:SourceType>Report</b:SourceType>
    <b:Guid>{29ED41A5-6A93-4DC9-AEE9-42D8E016BAF0}</b:Guid>
    <b:Author>
      <b:Author>
        <b:Corporate>Food Science Australia and Minter Ellison Consulting</b:Corporate>
      </b:Author>
    </b:Author>
    <b:Title>National Risk Validation Project Final Report</b:Title>
    <b:Year>2002</b:Year>
    <b:Publisher>NSW Department of Health &amp; the Commonwealth Department of Health and Aging</b:Publisher>
    <b:City>Canberra</b:City>
    <b:RefOrder>3</b:RefOrder>
  </b:Source>
</b:Sources>
</file>

<file path=customXml/itemProps1.xml><?xml version="1.0" encoding="utf-8"?>
<ds:datastoreItem xmlns:ds="http://schemas.openxmlformats.org/officeDocument/2006/customXml" ds:itemID="{AF002FDA-895A-47EB-8C49-8A7B672DE716}"/>
</file>

<file path=customXml/itemProps2.xml><?xml version="1.0" encoding="utf-8"?>
<ds:datastoreItem xmlns:ds="http://schemas.openxmlformats.org/officeDocument/2006/customXml" ds:itemID="{2E4A8899-5001-4C07-89AE-D8FA30C63934}">
  <ds:schemaRefs>
    <ds:schemaRef ds:uri="http://schemas.openxmlformats.org/officeDocument/2006/bibliography"/>
  </ds:schemaRefs>
</ds:datastoreItem>
</file>

<file path=customXml/itemProps3.xml><?xml version="1.0" encoding="utf-8"?>
<ds:datastoreItem xmlns:ds="http://schemas.openxmlformats.org/officeDocument/2006/customXml" ds:itemID="{84FF19BD-5C95-4401-AE88-FB28760BCAFD}"/>
</file>

<file path=customXml/itemProps4.xml><?xml version="1.0" encoding="utf-8"?>
<ds:datastoreItem xmlns:ds="http://schemas.openxmlformats.org/officeDocument/2006/customXml" ds:itemID="{74673A93-31D9-4142-97A4-F3585F090533}"/>
</file>

<file path=customXml/itemProps5.xml><?xml version="1.0" encoding="utf-8"?>
<ds:datastoreItem xmlns:ds="http://schemas.openxmlformats.org/officeDocument/2006/customXml" ds:itemID="{6E31D2BD-09AA-4ABD-89D4-054CDCAB3053}"/>
</file>

<file path=customXml/itemProps6.xml><?xml version="1.0" encoding="utf-8"?>
<ds:datastoreItem xmlns:ds="http://schemas.openxmlformats.org/officeDocument/2006/customXml" ds:itemID="{2E4A8899-5001-4C07-89AE-D8FA30C63934}"/>
</file>

<file path=docProps/app.xml><?xml version="1.0" encoding="utf-8"?>
<Properties xmlns="http://schemas.openxmlformats.org/officeDocument/2006/extended-properties" xmlns:vt="http://schemas.openxmlformats.org/officeDocument/2006/docPropsVTypes">
  <Template>Normal</Template>
  <TotalTime>2</TotalTime>
  <Pages>102</Pages>
  <Words>45344</Words>
  <Characters>258467</Characters>
  <Application>Microsoft Office Word</Application>
  <DocSecurity>0</DocSecurity>
  <Lines>2153</Lines>
  <Paragraphs>606</Paragraphs>
  <ScaleCrop>false</ScaleCrop>
  <HeadingPairs>
    <vt:vector size="2" baseType="variant">
      <vt:variant>
        <vt:lpstr>Title</vt:lpstr>
      </vt:variant>
      <vt:variant>
        <vt:i4>1</vt:i4>
      </vt:variant>
    </vt:vector>
  </HeadingPairs>
  <TitlesOfParts>
    <vt:vector size="1" baseType="lpstr">
      <vt:lpstr>P1053 Approval Report (Repaired) 24 May</vt:lpstr>
    </vt:vector>
  </TitlesOfParts>
  <Company>ANZFA</Company>
  <LinksUpToDate>false</LinksUpToDate>
  <CharactersWithSpaces>303205</CharactersWithSpaces>
  <SharedDoc>false</SharedDoc>
  <HLinks>
    <vt:vector size="936" baseType="variant">
      <vt:variant>
        <vt:i4>3735645</vt:i4>
      </vt:variant>
      <vt:variant>
        <vt:i4>696</vt:i4>
      </vt:variant>
      <vt:variant>
        <vt:i4>0</vt:i4>
      </vt:variant>
      <vt:variant>
        <vt:i4>5</vt:i4>
      </vt:variant>
      <vt:variant>
        <vt:lpwstr>https://www.foodstandards.gov.au/code/proposals/Documents/CFS SD2_Micro risk profile.pdf</vt:lpwstr>
      </vt:variant>
      <vt:variant>
        <vt:lpwstr/>
      </vt:variant>
      <vt:variant>
        <vt:i4>7340149</vt:i4>
      </vt:variant>
      <vt:variant>
        <vt:i4>693</vt:i4>
      </vt:variant>
      <vt:variant>
        <vt:i4>0</vt:i4>
      </vt:variant>
      <vt:variant>
        <vt:i4>5</vt:i4>
      </vt:variant>
      <vt:variant>
        <vt:lpwstr>https://www.foodauthority.nsw.gov.au/sites/default/files/_Documents/fss/fss_evaluation.pdf</vt:lpwstr>
      </vt:variant>
      <vt:variant>
        <vt:lpwstr/>
      </vt:variant>
      <vt:variant>
        <vt:i4>3342434</vt:i4>
      </vt:variant>
      <vt:variant>
        <vt:i4>690</vt:i4>
      </vt:variant>
      <vt:variant>
        <vt:i4>0</vt:i4>
      </vt:variant>
      <vt:variant>
        <vt:i4>5</vt:i4>
      </vt:variant>
      <vt:variant>
        <vt:lpwstr>https://www1.health.gov.au/internet/fr/publishing.nsf/Content/3139DD4B7DF3E23ACA25822F0004BFDD/$File/AusFIRS18-22CD.pdf</vt:lpwstr>
      </vt:variant>
      <vt:variant>
        <vt:lpwstr>:~:text=The%20aim%20of%20Australia%E2%80%99s%20Foodborne%20Illness%20Reduction%20Strategy,ways%20e.g.%20qualitative%2C%20quantitative%20or%20reduction%20in%20outbreaks.</vt:lpwstr>
      </vt:variant>
      <vt:variant>
        <vt:i4>1507353</vt:i4>
      </vt:variant>
      <vt:variant>
        <vt:i4>687</vt:i4>
      </vt:variant>
      <vt:variant>
        <vt:i4>0</vt:i4>
      </vt:variant>
      <vt:variant>
        <vt:i4>5</vt:i4>
      </vt:variant>
      <vt:variant>
        <vt:lpwstr>http://www.fao.org/fao-who-codexalimentarius/meetings/en/</vt:lpwstr>
      </vt:variant>
      <vt:variant>
        <vt:lpwstr/>
      </vt:variant>
      <vt:variant>
        <vt:i4>7864359</vt:i4>
      </vt:variant>
      <vt:variant>
        <vt:i4>684</vt:i4>
      </vt:variant>
      <vt:variant>
        <vt:i4>0</vt:i4>
      </vt:variant>
      <vt:variant>
        <vt:i4>5</vt:i4>
      </vt:variant>
      <vt:variant>
        <vt:lpwstr>https://obpr.pmc.gov.au/resources/guidance-assessing-impacts/cost-benefit-analysis</vt:lpwstr>
      </vt:variant>
      <vt:variant>
        <vt:lpwstr/>
      </vt:variant>
      <vt:variant>
        <vt:i4>6291560</vt:i4>
      </vt:variant>
      <vt:variant>
        <vt:i4>681</vt:i4>
      </vt:variant>
      <vt:variant>
        <vt:i4>0</vt:i4>
      </vt:variant>
      <vt:variant>
        <vt:i4>5</vt:i4>
      </vt:variant>
      <vt:variant>
        <vt:lpwstr>https://doi.org/10.3201/eid2011.131315</vt:lpwstr>
      </vt:variant>
      <vt:variant>
        <vt:lpwstr/>
      </vt:variant>
      <vt:variant>
        <vt:i4>6619257</vt:i4>
      </vt:variant>
      <vt:variant>
        <vt:i4>666</vt:i4>
      </vt:variant>
      <vt:variant>
        <vt:i4>0</vt:i4>
      </vt:variant>
      <vt:variant>
        <vt:i4>5</vt:i4>
      </vt:variant>
      <vt:variant>
        <vt:lpwstr>https://www.sciencedirect.com/science/article/pii/S0956713504001975</vt:lpwstr>
      </vt:variant>
      <vt:variant>
        <vt:lpwstr/>
      </vt:variant>
      <vt:variant>
        <vt:i4>4128775</vt:i4>
      </vt:variant>
      <vt:variant>
        <vt:i4>663</vt:i4>
      </vt:variant>
      <vt:variant>
        <vt:i4>0</vt:i4>
      </vt:variant>
      <vt:variant>
        <vt:i4>5</vt:i4>
      </vt:variant>
      <vt:variant>
        <vt:lpwstr>https://treasury.gov.au/sites/default/files/2019-03/final_report.pdf</vt:lpwstr>
      </vt:variant>
      <vt:variant>
        <vt:lpwstr/>
      </vt:variant>
      <vt:variant>
        <vt:i4>5177347</vt:i4>
      </vt:variant>
      <vt:variant>
        <vt:i4>660</vt:i4>
      </vt:variant>
      <vt:variant>
        <vt:i4>0</vt:i4>
      </vt:variant>
      <vt:variant>
        <vt:i4>5</vt:i4>
      </vt:variant>
      <vt:variant>
        <vt:lpwstr>https://foodregulation.gov.au/internet/fr/publishing.nsf/Content/37F08208FAC6F504CA2582A40027AA90/$File/FRSC-RPF-ECE.docx</vt:lpwstr>
      </vt:variant>
      <vt:variant>
        <vt:lpwstr/>
      </vt:variant>
      <vt:variant>
        <vt:i4>2228284</vt:i4>
      </vt:variant>
      <vt:variant>
        <vt:i4>657</vt:i4>
      </vt:variant>
      <vt:variant>
        <vt:i4>0</vt:i4>
      </vt:variant>
      <vt:variant>
        <vt:i4>5</vt:i4>
      </vt:variant>
      <vt:variant>
        <vt:lpwstr>http://www.health.gov.au/internet/main/publishing.nsf/Content/cda-pubs-annlrpt-ozfnetar.htm</vt:lpwstr>
      </vt:variant>
      <vt:variant>
        <vt:lpwstr/>
      </vt:variant>
      <vt:variant>
        <vt:i4>2228284</vt:i4>
      </vt:variant>
      <vt:variant>
        <vt:i4>654</vt:i4>
      </vt:variant>
      <vt:variant>
        <vt:i4>0</vt:i4>
      </vt:variant>
      <vt:variant>
        <vt:i4>5</vt:i4>
      </vt:variant>
      <vt:variant>
        <vt:lpwstr>http://www.health.gov.au/internet/main/publishing.nsf/Content/cda-pubs-annlrpt-ozfnetar.htm</vt:lpwstr>
      </vt:variant>
      <vt:variant>
        <vt:lpwstr/>
      </vt:variant>
      <vt:variant>
        <vt:i4>2228284</vt:i4>
      </vt:variant>
      <vt:variant>
        <vt:i4>651</vt:i4>
      </vt:variant>
      <vt:variant>
        <vt:i4>0</vt:i4>
      </vt:variant>
      <vt:variant>
        <vt:i4>5</vt:i4>
      </vt:variant>
      <vt:variant>
        <vt:lpwstr>http://www.health.gov.au/internet/main/publishing.nsf/Content/cda-pubs-annlrpt-ozfnetar.htm</vt:lpwstr>
      </vt:variant>
      <vt:variant>
        <vt:lpwstr/>
      </vt:variant>
      <vt:variant>
        <vt:i4>2228284</vt:i4>
      </vt:variant>
      <vt:variant>
        <vt:i4>648</vt:i4>
      </vt:variant>
      <vt:variant>
        <vt:i4>0</vt:i4>
      </vt:variant>
      <vt:variant>
        <vt:i4>5</vt:i4>
      </vt:variant>
      <vt:variant>
        <vt:lpwstr>http://www.health.gov.au/internet/main/publishing.nsf/Content/cda-pubs-annlrpt-ozfnetar.htm</vt:lpwstr>
      </vt:variant>
      <vt:variant>
        <vt:lpwstr/>
      </vt:variant>
      <vt:variant>
        <vt:i4>6357088</vt:i4>
      </vt:variant>
      <vt:variant>
        <vt:i4>645</vt:i4>
      </vt:variant>
      <vt:variant>
        <vt:i4>0</vt:i4>
      </vt:variant>
      <vt:variant>
        <vt:i4>5</vt:i4>
      </vt:variant>
      <vt:variant>
        <vt:lpwstr>https://www.foodauthority.nsw.gov.au/media/6876 accessed 23/08/2019</vt:lpwstr>
      </vt:variant>
      <vt:variant>
        <vt:lpwstr/>
      </vt:variant>
      <vt:variant>
        <vt:i4>2883639</vt:i4>
      </vt:variant>
      <vt:variant>
        <vt:i4>642</vt:i4>
      </vt:variant>
      <vt:variant>
        <vt:i4>0</vt:i4>
      </vt:variant>
      <vt:variant>
        <vt:i4>5</vt:i4>
      </vt:variant>
      <vt:variant>
        <vt:lpwstr>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vt:lpwstr>
      </vt:variant>
      <vt:variant>
        <vt:lpwstr/>
      </vt:variant>
      <vt:variant>
        <vt:i4>8061001</vt:i4>
      </vt:variant>
      <vt:variant>
        <vt:i4>639</vt:i4>
      </vt:variant>
      <vt:variant>
        <vt:i4>0</vt:i4>
      </vt:variant>
      <vt:variant>
        <vt:i4>5</vt:i4>
      </vt:variant>
      <vt:variant>
        <vt:lpwstr>http://agriculture.gov.au/abares/publications/display?url=http://143.188.17.20/anrdl/DAFFService/display.php?fid=pb_fdati9aat20180822.xml</vt:lpwstr>
      </vt:variant>
      <vt:variant>
        <vt:lpwstr/>
      </vt:variant>
      <vt:variant>
        <vt:i4>3735645</vt:i4>
      </vt:variant>
      <vt:variant>
        <vt:i4>636</vt:i4>
      </vt:variant>
      <vt:variant>
        <vt:i4>0</vt:i4>
      </vt:variant>
      <vt:variant>
        <vt:i4>5</vt:i4>
      </vt:variant>
      <vt:variant>
        <vt:lpwstr>https://www.foodstandards.gov.au/code/proposals/Documents/CFS SD2_Micro risk profile.pdf</vt:lpwstr>
      </vt:variant>
      <vt:variant>
        <vt:lpwstr/>
      </vt:variant>
      <vt:variant>
        <vt:i4>6488114</vt:i4>
      </vt:variant>
      <vt:variant>
        <vt:i4>633</vt:i4>
      </vt:variant>
      <vt:variant>
        <vt:i4>0</vt:i4>
      </vt:variant>
      <vt:variant>
        <vt:i4>5</vt:i4>
      </vt:variant>
      <vt:variant>
        <vt:lpwstr>http://www.foodstandards.gov.au/foodsafety/standards/Pages/Safe-Food-Australia-%E2%80%93-A-guide-to-the-Food-Safety-Standards.aspx</vt:lpwstr>
      </vt:variant>
      <vt:variant>
        <vt:lpwstr/>
      </vt:variant>
      <vt:variant>
        <vt:i4>1507332</vt:i4>
      </vt:variant>
      <vt:variant>
        <vt:i4>630</vt:i4>
      </vt:variant>
      <vt:variant>
        <vt:i4>0</vt:i4>
      </vt:variant>
      <vt:variant>
        <vt:i4>5</vt:i4>
      </vt:variant>
      <vt:variant>
        <vt:lpwstr>https://www.foodstandards.gov.au/publications/documents/2007 NFHS Interpretive Summary FINAL.pdf</vt:lpwstr>
      </vt:variant>
      <vt:variant>
        <vt:lpwstr/>
      </vt:variant>
      <vt:variant>
        <vt:i4>2359422</vt:i4>
      </vt:variant>
      <vt:variant>
        <vt:i4>627</vt:i4>
      </vt:variant>
      <vt:variant>
        <vt:i4>0</vt:i4>
      </vt:variant>
      <vt:variant>
        <vt:i4>5</vt:i4>
      </vt:variant>
      <vt:variant>
        <vt:lpwstr>https://foodregulation.gov.au/internet/fr/publishing.nsf/Content/publication-Food-Safety-Management-Policy-Guideline-for-the-retail-and-food-service-sectors accessed December 2019</vt:lpwstr>
      </vt:variant>
      <vt:variant>
        <vt:lpwstr/>
      </vt:variant>
      <vt:variant>
        <vt:i4>1441860</vt:i4>
      </vt:variant>
      <vt:variant>
        <vt:i4>624</vt:i4>
      </vt:variant>
      <vt:variant>
        <vt:i4>0</vt:i4>
      </vt:variant>
      <vt:variant>
        <vt:i4>5</vt:i4>
      </vt:variant>
      <vt:variant>
        <vt:lpwstr>https://foodregulation.gov.au/internet/fr/publishing.nsf/Content/risk-profiling-framework</vt:lpwstr>
      </vt:variant>
      <vt:variant>
        <vt:lpwstr/>
      </vt:variant>
      <vt:variant>
        <vt:i4>2228284</vt:i4>
      </vt:variant>
      <vt:variant>
        <vt:i4>621</vt:i4>
      </vt:variant>
      <vt:variant>
        <vt:i4>0</vt:i4>
      </vt:variant>
      <vt:variant>
        <vt:i4>5</vt:i4>
      </vt:variant>
      <vt:variant>
        <vt:lpwstr>http://www.health.gov.au/internet/main/publishing.nsf/Content/cda-pubs-annlrpt-ozfnetar.htm</vt:lpwstr>
      </vt:variant>
      <vt:variant>
        <vt:lpwstr/>
      </vt:variant>
      <vt:variant>
        <vt:i4>1507421</vt:i4>
      </vt:variant>
      <vt:variant>
        <vt:i4>618</vt:i4>
      </vt:variant>
      <vt:variant>
        <vt:i4>0</vt:i4>
      </vt:variant>
      <vt:variant>
        <vt:i4>5</vt:i4>
      </vt:variant>
      <vt:variant>
        <vt:lpwstr>https://dofoodsafely.health.vic.gov.au/index.php/en/</vt:lpwstr>
      </vt:variant>
      <vt:variant>
        <vt:lpwstr/>
      </vt:variant>
      <vt:variant>
        <vt:i4>458840</vt:i4>
      </vt:variant>
      <vt:variant>
        <vt:i4>615</vt:i4>
      </vt:variant>
      <vt:variant>
        <vt:i4>0</vt:i4>
      </vt:variant>
      <vt:variant>
        <vt:i4>5</vt:i4>
      </vt:variant>
      <vt:variant>
        <vt:lpwstr>https://www.imalert.com.au/v6/?sub=nt</vt:lpwstr>
      </vt:variant>
      <vt:variant>
        <vt:lpwstr/>
      </vt:variant>
      <vt:variant>
        <vt:i4>196696</vt:i4>
      </vt:variant>
      <vt:variant>
        <vt:i4>612</vt:i4>
      </vt:variant>
      <vt:variant>
        <vt:i4>0</vt:i4>
      </vt:variant>
      <vt:variant>
        <vt:i4>5</vt:i4>
      </vt:variant>
      <vt:variant>
        <vt:lpwstr>https://imalert.com.au/v6/?sub=health-act</vt:lpwstr>
      </vt:variant>
      <vt:variant>
        <vt:lpwstr/>
      </vt:variant>
      <vt:variant>
        <vt:i4>7733352</vt:i4>
      </vt:variant>
      <vt:variant>
        <vt:i4>600</vt:i4>
      </vt:variant>
      <vt:variant>
        <vt:i4>0</vt:i4>
      </vt:variant>
      <vt:variant>
        <vt:i4>5</vt:i4>
      </vt:variant>
      <vt:variant>
        <vt:lpwstr>http://www.foodstandards.gov.au/code/Pages/default.aspx</vt:lpwstr>
      </vt:variant>
      <vt:variant>
        <vt:lpwstr/>
      </vt:variant>
      <vt:variant>
        <vt:i4>2556030</vt:i4>
      </vt:variant>
      <vt:variant>
        <vt:i4>597</vt:i4>
      </vt:variant>
      <vt:variant>
        <vt:i4>0</vt:i4>
      </vt:variant>
      <vt:variant>
        <vt:i4>5</vt:i4>
      </vt:variant>
      <vt:variant>
        <vt:lpwstr>https://webarchive.nla.gov.au/awa/20151020103533/http:/www.health.gov.au/internet/main/publishing.nsf/Content/foodsecretariat-isc-model.htm</vt:lpwstr>
      </vt:variant>
      <vt:variant>
        <vt:lpwstr/>
      </vt:variant>
      <vt:variant>
        <vt:i4>1310771</vt:i4>
      </vt:variant>
      <vt:variant>
        <vt:i4>590</vt:i4>
      </vt:variant>
      <vt:variant>
        <vt:i4>0</vt:i4>
      </vt:variant>
      <vt:variant>
        <vt:i4>5</vt:i4>
      </vt:variant>
      <vt:variant>
        <vt:lpwstr/>
      </vt:variant>
      <vt:variant>
        <vt:lpwstr>_Toc104808633</vt:lpwstr>
      </vt:variant>
      <vt:variant>
        <vt:i4>1310771</vt:i4>
      </vt:variant>
      <vt:variant>
        <vt:i4>584</vt:i4>
      </vt:variant>
      <vt:variant>
        <vt:i4>0</vt:i4>
      </vt:variant>
      <vt:variant>
        <vt:i4>5</vt:i4>
      </vt:variant>
      <vt:variant>
        <vt:lpwstr/>
      </vt:variant>
      <vt:variant>
        <vt:lpwstr>_Toc104808632</vt:lpwstr>
      </vt:variant>
      <vt:variant>
        <vt:i4>1310771</vt:i4>
      </vt:variant>
      <vt:variant>
        <vt:i4>578</vt:i4>
      </vt:variant>
      <vt:variant>
        <vt:i4>0</vt:i4>
      </vt:variant>
      <vt:variant>
        <vt:i4>5</vt:i4>
      </vt:variant>
      <vt:variant>
        <vt:lpwstr/>
      </vt:variant>
      <vt:variant>
        <vt:lpwstr>_Toc104808631</vt:lpwstr>
      </vt:variant>
      <vt:variant>
        <vt:i4>1310771</vt:i4>
      </vt:variant>
      <vt:variant>
        <vt:i4>572</vt:i4>
      </vt:variant>
      <vt:variant>
        <vt:i4>0</vt:i4>
      </vt:variant>
      <vt:variant>
        <vt:i4>5</vt:i4>
      </vt:variant>
      <vt:variant>
        <vt:lpwstr/>
      </vt:variant>
      <vt:variant>
        <vt:lpwstr>_Toc104808630</vt:lpwstr>
      </vt:variant>
      <vt:variant>
        <vt:i4>1376307</vt:i4>
      </vt:variant>
      <vt:variant>
        <vt:i4>566</vt:i4>
      </vt:variant>
      <vt:variant>
        <vt:i4>0</vt:i4>
      </vt:variant>
      <vt:variant>
        <vt:i4>5</vt:i4>
      </vt:variant>
      <vt:variant>
        <vt:lpwstr/>
      </vt:variant>
      <vt:variant>
        <vt:lpwstr>_Toc104808629</vt:lpwstr>
      </vt:variant>
      <vt:variant>
        <vt:i4>1376307</vt:i4>
      </vt:variant>
      <vt:variant>
        <vt:i4>560</vt:i4>
      </vt:variant>
      <vt:variant>
        <vt:i4>0</vt:i4>
      </vt:variant>
      <vt:variant>
        <vt:i4>5</vt:i4>
      </vt:variant>
      <vt:variant>
        <vt:lpwstr/>
      </vt:variant>
      <vt:variant>
        <vt:lpwstr>_Toc104808628</vt:lpwstr>
      </vt:variant>
      <vt:variant>
        <vt:i4>1376307</vt:i4>
      </vt:variant>
      <vt:variant>
        <vt:i4>554</vt:i4>
      </vt:variant>
      <vt:variant>
        <vt:i4>0</vt:i4>
      </vt:variant>
      <vt:variant>
        <vt:i4>5</vt:i4>
      </vt:variant>
      <vt:variant>
        <vt:lpwstr/>
      </vt:variant>
      <vt:variant>
        <vt:lpwstr>_Toc104808627</vt:lpwstr>
      </vt:variant>
      <vt:variant>
        <vt:i4>1376307</vt:i4>
      </vt:variant>
      <vt:variant>
        <vt:i4>548</vt:i4>
      </vt:variant>
      <vt:variant>
        <vt:i4>0</vt:i4>
      </vt:variant>
      <vt:variant>
        <vt:i4>5</vt:i4>
      </vt:variant>
      <vt:variant>
        <vt:lpwstr/>
      </vt:variant>
      <vt:variant>
        <vt:lpwstr>_Toc104808626</vt:lpwstr>
      </vt:variant>
      <vt:variant>
        <vt:i4>1376307</vt:i4>
      </vt:variant>
      <vt:variant>
        <vt:i4>542</vt:i4>
      </vt:variant>
      <vt:variant>
        <vt:i4>0</vt:i4>
      </vt:variant>
      <vt:variant>
        <vt:i4>5</vt:i4>
      </vt:variant>
      <vt:variant>
        <vt:lpwstr/>
      </vt:variant>
      <vt:variant>
        <vt:lpwstr>_Toc104808625</vt:lpwstr>
      </vt:variant>
      <vt:variant>
        <vt:i4>1376307</vt:i4>
      </vt:variant>
      <vt:variant>
        <vt:i4>536</vt:i4>
      </vt:variant>
      <vt:variant>
        <vt:i4>0</vt:i4>
      </vt:variant>
      <vt:variant>
        <vt:i4>5</vt:i4>
      </vt:variant>
      <vt:variant>
        <vt:lpwstr/>
      </vt:variant>
      <vt:variant>
        <vt:lpwstr>_Toc104808624</vt:lpwstr>
      </vt:variant>
      <vt:variant>
        <vt:i4>1376307</vt:i4>
      </vt:variant>
      <vt:variant>
        <vt:i4>530</vt:i4>
      </vt:variant>
      <vt:variant>
        <vt:i4>0</vt:i4>
      </vt:variant>
      <vt:variant>
        <vt:i4>5</vt:i4>
      </vt:variant>
      <vt:variant>
        <vt:lpwstr/>
      </vt:variant>
      <vt:variant>
        <vt:lpwstr>_Toc104808623</vt:lpwstr>
      </vt:variant>
      <vt:variant>
        <vt:i4>1376307</vt:i4>
      </vt:variant>
      <vt:variant>
        <vt:i4>524</vt:i4>
      </vt:variant>
      <vt:variant>
        <vt:i4>0</vt:i4>
      </vt:variant>
      <vt:variant>
        <vt:i4>5</vt:i4>
      </vt:variant>
      <vt:variant>
        <vt:lpwstr/>
      </vt:variant>
      <vt:variant>
        <vt:lpwstr>_Toc104808622</vt:lpwstr>
      </vt:variant>
      <vt:variant>
        <vt:i4>1376307</vt:i4>
      </vt:variant>
      <vt:variant>
        <vt:i4>518</vt:i4>
      </vt:variant>
      <vt:variant>
        <vt:i4>0</vt:i4>
      </vt:variant>
      <vt:variant>
        <vt:i4>5</vt:i4>
      </vt:variant>
      <vt:variant>
        <vt:lpwstr/>
      </vt:variant>
      <vt:variant>
        <vt:lpwstr>_Toc104808621</vt:lpwstr>
      </vt:variant>
      <vt:variant>
        <vt:i4>1376307</vt:i4>
      </vt:variant>
      <vt:variant>
        <vt:i4>512</vt:i4>
      </vt:variant>
      <vt:variant>
        <vt:i4>0</vt:i4>
      </vt:variant>
      <vt:variant>
        <vt:i4>5</vt:i4>
      </vt:variant>
      <vt:variant>
        <vt:lpwstr/>
      </vt:variant>
      <vt:variant>
        <vt:lpwstr>_Toc104808620</vt:lpwstr>
      </vt:variant>
      <vt:variant>
        <vt:i4>1441843</vt:i4>
      </vt:variant>
      <vt:variant>
        <vt:i4>506</vt:i4>
      </vt:variant>
      <vt:variant>
        <vt:i4>0</vt:i4>
      </vt:variant>
      <vt:variant>
        <vt:i4>5</vt:i4>
      </vt:variant>
      <vt:variant>
        <vt:lpwstr/>
      </vt:variant>
      <vt:variant>
        <vt:lpwstr>_Toc104808619</vt:lpwstr>
      </vt:variant>
      <vt:variant>
        <vt:i4>1441843</vt:i4>
      </vt:variant>
      <vt:variant>
        <vt:i4>500</vt:i4>
      </vt:variant>
      <vt:variant>
        <vt:i4>0</vt:i4>
      </vt:variant>
      <vt:variant>
        <vt:i4>5</vt:i4>
      </vt:variant>
      <vt:variant>
        <vt:lpwstr/>
      </vt:variant>
      <vt:variant>
        <vt:lpwstr>_Toc104808618</vt:lpwstr>
      </vt:variant>
      <vt:variant>
        <vt:i4>1441843</vt:i4>
      </vt:variant>
      <vt:variant>
        <vt:i4>494</vt:i4>
      </vt:variant>
      <vt:variant>
        <vt:i4>0</vt:i4>
      </vt:variant>
      <vt:variant>
        <vt:i4>5</vt:i4>
      </vt:variant>
      <vt:variant>
        <vt:lpwstr/>
      </vt:variant>
      <vt:variant>
        <vt:lpwstr>_Toc104808617</vt:lpwstr>
      </vt:variant>
      <vt:variant>
        <vt:i4>1441843</vt:i4>
      </vt:variant>
      <vt:variant>
        <vt:i4>488</vt:i4>
      </vt:variant>
      <vt:variant>
        <vt:i4>0</vt:i4>
      </vt:variant>
      <vt:variant>
        <vt:i4>5</vt:i4>
      </vt:variant>
      <vt:variant>
        <vt:lpwstr/>
      </vt:variant>
      <vt:variant>
        <vt:lpwstr>_Toc104808616</vt:lpwstr>
      </vt:variant>
      <vt:variant>
        <vt:i4>1441843</vt:i4>
      </vt:variant>
      <vt:variant>
        <vt:i4>482</vt:i4>
      </vt:variant>
      <vt:variant>
        <vt:i4>0</vt:i4>
      </vt:variant>
      <vt:variant>
        <vt:i4>5</vt:i4>
      </vt:variant>
      <vt:variant>
        <vt:lpwstr/>
      </vt:variant>
      <vt:variant>
        <vt:lpwstr>_Toc104808615</vt:lpwstr>
      </vt:variant>
      <vt:variant>
        <vt:i4>1441843</vt:i4>
      </vt:variant>
      <vt:variant>
        <vt:i4>476</vt:i4>
      </vt:variant>
      <vt:variant>
        <vt:i4>0</vt:i4>
      </vt:variant>
      <vt:variant>
        <vt:i4>5</vt:i4>
      </vt:variant>
      <vt:variant>
        <vt:lpwstr/>
      </vt:variant>
      <vt:variant>
        <vt:lpwstr>_Toc104808614</vt:lpwstr>
      </vt:variant>
      <vt:variant>
        <vt:i4>1441843</vt:i4>
      </vt:variant>
      <vt:variant>
        <vt:i4>470</vt:i4>
      </vt:variant>
      <vt:variant>
        <vt:i4>0</vt:i4>
      </vt:variant>
      <vt:variant>
        <vt:i4>5</vt:i4>
      </vt:variant>
      <vt:variant>
        <vt:lpwstr/>
      </vt:variant>
      <vt:variant>
        <vt:lpwstr>_Toc104808613</vt:lpwstr>
      </vt:variant>
      <vt:variant>
        <vt:i4>1441843</vt:i4>
      </vt:variant>
      <vt:variant>
        <vt:i4>464</vt:i4>
      </vt:variant>
      <vt:variant>
        <vt:i4>0</vt:i4>
      </vt:variant>
      <vt:variant>
        <vt:i4>5</vt:i4>
      </vt:variant>
      <vt:variant>
        <vt:lpwstr/>
      </vt:variant>
      <vt:variant>
        <vt:lpwstr>_Toc104808612</vt:lpwstr>
      </vt:variant>
      <vt:variant>
        <vt:i4>1441843</vt:i4>
      </vt:variant>
      <vt:variant>
        <vt:i4>458</vt:i4>
      </vt:variant>
      <vt:variant>
        <vt:i4>0</vt:i4>
      </vt:variant>
      <vt:variant>
        <vt:i4>5</vt:i4>
      </vt:variant>
      <vt:variant>
        <vt:lpwstr/>
      </vt:variant>
      <vt:variant>
        <vt:lpwstr>_Toc104808611</vt:lpwstr>
      </vt:variant>
      <vt:variant>
        <vt:i4>1441843</vt:i4>
      </vt:variant>
      <vt:variant>
        <vt:i4>452</vt:i4>
      </vt:variant>
      <vt:variant>
        <vt:i4>0</vt:i4>
      </vt:variant>
      <vt:variant>
        <vt:i4>5</vt:i4>
      </vt:variant>
      <vt:variant>
        <vt:lpwstr/>
      </vt:variant>
      <vt:variant>
        <vt:lpwstr>_Toc104808610</vt:lpwstr>
      </vt:variant>
      <vt:variant>
        <vt:i4>1507379</vt:i4>
      </vt:variant>
      <vt:variant>
        <vt:i4>446</vt:i4>
      </vt:variant>
      <vt:variant>
        <vt:i4>0</vt:i4>
      </vt:variant>
      <vt:variant>
        <vt:i4>5</vt:i4>
      </vt:variant>
      <vt:variant>
        <vt:lpwstr/>
      </vt:variant>
      <vt:variant>
        <vt:lpwstr>_Toc104808609</vt:lpwstr>
      </vt:variant>
      <vt:variant>
        <vt:i4>1507379</vt:i4>
      </vt:variant>
      <vt:variant>
        <vt:i4>440</vt:i4>
      </vt:variant>
      <vt:variant>
        <vt:i4>0</vt:i4>
      </vt:variant>
      <vt:variant>
        <vt:i4>5</vt:i4>
      </vt:variant>
      <vt:variant>
        <vt:lpwstr/>
      </vt:variant>
      <vt:variant>
        <vt:lpwstr>_Toc104808608</vt:lpwstr>
      </vt:variant>
      <vt:variant>
        <vt:i4>1507379</vt:i4>
      </vt:variant>
      <vt:variant>
        <vt:i4>434</vt:i4>
      </vt:variant>
      <vt:variant>
        <vt:i4>0</vt:i4>
      </vt:variant>
      <vt:variant>
        <vt:i4>5</vt:i4>
      </vt:variant>
      <vt:variant>
        <vt:lpwstr/>
      </vt:variant>
      <vt:variant>
        <vt:lpwstr>_Toc104808607</vt:lpwstr>
      </vt:variant>
      <vt:variant>
        <vt:i4>1507379</vt:i4>
      </vt:variant>
      <vt:variant>
        <vt:i4>428</vt:i4>
      </vt:variant>
      <vt:variant>
        <vt:i4>0</vt:i4>
      </vt:variant>
      <vt:variant>
        <vt:i4>5</vt:i4>
      </vt:variant>
      <vt:variant>
        <vt:lpwstr/>
      </vt:variant>
      <vt:variant>
        <vt:lpwstr>_Toc104808606</vt:lpwstr>
      </vt:variant>
      <vt:variant>
        <vt:i4>1507379</vt:i4>
      </vt:variant>
      <vt:variant>
        <vt:i4>422</vt:i4>
      </vt:variant>
      <vt:variant>
        <vt:i4>0</vt:i4>
      </vt:variant>
      <vt:variant>
        <vt:i4>5</vt:i4>
      </vt:variant>
      <vt:variant>
        <vt:lpwstr/>
      </vt:variant>
      <vt:variant>
        <vt:lpwstr>_Toc104808605</vt:lpwstr>
      </vt:variant>
      <vt:variant>
        <vt:i4>1507379</vt:i4>
      </vt:variant>
      <vt:variant>
        <vt:i4>416</vt:i4>
      </vt:variant>
      <vt:variant>
        <vt:i4>0</vt:i4>
      </vt:variant>
      <vt:variant>
        <vt:i4>5</vt:i4>
      </vt:variant>
      <vt:variant>
        <vt:lpwstr/>
      </vt:variant>
      <vt:variant>
        <vt:lpwstr>_Toc104808604</vt:lpwstr>
      </vt:variant>
      <vt:variant>
        <vt:i4>1507379</vt:i4>
      </vt:variant>
      <vt:variant>
        <vt:i4>410</vt:i4>
      </vt:variant>
      <vt:variant>
        <vt:i4>0</vt:i4>
      </vt:variant>
      <vt:variant>
        <vt:i4>5</vt:i4>
      </vt:variant>
      <vt:variant>
        <vt:lpwstr/>
      </vt:variant>
      <vt:variant>
        <vt:lpwstr>_Toc104808603</vt:lpwstr>
      </vt:variant>
      <vt:variant>
        <vt:i4>1507379</vt:i4>
      </vt:variant>
      <vt:variant>
        <vt:i4>404</vt:i4>
      </vt:variant>
      <vt:variant>
        <vt:i4>0</vt:i4>
      </vt:variant>
      <vt:variant>
        <vt:i4>5</vt:i4>
      </vt:variant>
      <vt:variant>
        <vt:lpwstr/>
      </vt:variant>
      <vt:variant>
        <vt:lpwstr>_Toc104808602</vt:lpwstr>
      </vt:variant>
      <vt:variant>
        <vt:i4>1507379</vt:i4>
      </vt:variant>
      <vt:variant>
        <vt:i4>398</vt:i4>
      </vt:variant>
      <vt:variant>
        <vt:i4>0</vt:i4>
      </vt:variant>
      <vt:variant>
        <vt:i4>5</vt:i4>
      </vt:variant>
      <vt:variant>
        <vt:lpwstr/>
      </vt:variant>
      <vt:variant>
        <vt:lpwstr>_Toc104808601</vt:lpwstr>
      </vt:variant>
      <vt:variant>
        <vt:i4>1507379</vt:i4>
      </vt:variant>
      <vt:variant>
        <vt:i4>392</vt:i4>
      </vt:variant>
      <vt:variant>
        <vt:i4>0</vt:i4>
      </vt:variant>
      <vt:variant>
        <vt:i4>5</vt:i4>
      </vt:variant>
      <vt:variant>
        <vt:lpwstr/>
      </vt:variant>
      <vt:variant>
        <vt:lpwstr>_Toc104808600</vt:lpwstr>
      </vt:variant>
      <vt:variant>
        <vt:i4>1966128</vt:i4>
      </vt:variant>
      <vt:variant>
        <vt:i4>386</vt:i4>
      </vt:variant>
      <vt:variant>
        <vt:i4>0</vt:i4>
      </vt:variant>
      <vt:variant>
        <vt:i4>5</vt:i4>
      </vt:variant>
      <vt:variant>
        <vt:lpwstr/>
      </vt:variant>
      <vt:variant>
        <vt:lpwstr>_Toc104808599</vt:lpwstr>
      </vt:variant>
      <vt:variant>
        <vt:i4>1966128</vt:i4>
      </vt:variant>
      <vt:variant>
        <vt:i4>380</vt:i4>
      </vt:variant>
      <vt:variant>
        <vt:i4>0</vt:i4>
      </vt:variant>
      <vt:variant>
        <vt:i4>5</vt:i4>
      </vt:variant>
      <vt:variant>
        <vt:lpwstr/>
      </vt:variant>
      <vt:variant>
        <vt:lpwstr>_Toc104808598</vt:lpwstr>
      </vt:variant>
      <vt:variant>
        <vt:i4>1966128</vt:i4>
      </vt:variant>
      <vt:variant>
        <vt:i4>374</vt:i4>
      </vt:variant>
      <vt:variant>
        <vt:i4>0</vt:i4>
      </vt:variant>
      <vt:variant>
        <vt:i4>5</vt:i4>
      </vt:variant>
      <vt:variant>
        <vt:lpwstr/>
      </vt:variant>
      <vt:variant>
        <vt:lpwstr>_Toc104808597</vt:lpwstr>
      </vt:variant>
      <vt:variant>
        <vt:i4>1966128</vt:i4>
      </vt:variant>
      <vt:variant>
        <vt:i4>368</vt:i4>
      </vt:variant>
      <vt:variant>
        <vt:i4>0</vt:i4>
      </vt:variant>
      <vt:variant>
        <vt:i4>5</vt:i4>
      </vt:variant>
      <vt:variant>
        <vt:lpwstr/>
      </vt:variant>
      <vt:variant>
        <vt:lpwstr>_Toc104808596</vt:lpwstr>
      </vt:variant>
      <vt:variant>
        <vt:i4>1966128</vt:i4>
      </vt:variant>
      <vt:variant>
        <vt:i4>362</vt:i4>
      </vt:variant>
      <vt:variant>
        <vt:i4>0</vt:i4>
      </vt:variant>
      <vt:variant>
        <vt:i4>5</vt:i4>
      </vt:variant>
      <vt:variant>
        <vt:lpwstr/>
      </vt:variant>
      <vt:variant>
        <vt:lpwstr>_Toc104808595</vt:lpwstr>
      </vt:variant>
      <vt:variant>
        <vt:i4>1966128</vt:i4>
      </vt:variant>
      <vt:variant>
        <vt:i4>356</vt:i4>
      </vt:variant>
      <vt:variant>
        <vt:i4>0</vt:i4>
      </vt:variant>
      <vt:variant>
        <vt:i4>5</vt:i4>
      </vt:variant>
      <vt:variant>
        <vt:lpwstr/>
      </vt:variant>
      <vt:variant>
        <vt:lpwstr>_Toc104808594</vt:lpwstr>
      </vt:variant>
      <vt:variant>
        <vt:i4>1966128</vt:i4>
      </vt:variant>
      <vt:variant>
        <vt:i4>350</vt:i4>
      </vt:variant>
      <vt:variant>
        <vt:i4>0</vt:i4>
      </vt:variant>
      <vt:variant>
        <vt:i4>5</vt:i4>
      </vt:variant>
      <vt:variant>
        <vt:lpwstr/>
      </vt:variant>
      <vt:variant>
        <vt:lpwstr>_Toc104808593</vt:lpwstr>
      </vt:variant>
      <vt:variant>
        <vt:i4>1966128</vt:i4>
      </vt:variant>
      <vt:variant>
        <vt:i4>344</vt:i4>
      </vt:variant>
      <vt:variant>
        <vt:i4>0</vt:i4>
      </vt:variant>
      <vt:variant>
        <vt:i4>5</vt:i4>
      </vt:variant>
      <vt:variant>
        <vt:lpwstr/>
      </vt:variant>
      <vt:variant>
        <vt:lpwstr>_Toc104808592</vt:lpwstr>
      </vt:variant>
      <vt:variant>
        <vt:i4>6946865</vt:i4>
      </vt:variant>
      <vt:variant>
        <vt:i4>339</vt:i4>
      </vt:variant>
      <vt:variant>
        <vt:i4>0</vt:i4>
      </vt:variant>
      <vt:variant>
        <vt:i4>5</vt:i4>
      </vt:variant>
      <vt:variant>
        <vt:lpwstr>http://www.legislation.gov.au/</vt:lpwstr>
      </vt:variant>
      <vt:variant>
        <vt:lpwstr/>
      </vt:variant>
      <vt:variant>
        <vt:i4>6946865</vt:i4>
      </vt:variant>
      <vt:variant>
        <vt:i4>336</vt:i4>
      </vt:variant>
      <vt:variant>
        <vt:i4>0</vt:i4>
      </vt:variant>
      <vt:variant>
        <vt:i4>5</vt:i4>
      </vt:variant>
      <vt:variant>
        <vt:lpwstr>http://www.legislation.gov.au/</vt:lpwstr>
      </vt:variant>
      <vt:variant>
        <vt:lpwstr/>
      </vt:variant>
      <vt:variant>
        <vt:i4>589915</vt:i4>
      </vt:variant>
      <vt:variant>
        <vt:i4>330</vt:i4>
      </vt:variant>
      <vt:variant>
        <vt:i4>0</vt:i4>
      </vt:variant>
      <vt:variant>
        <vt:i4>5</vt:i4>
      </vt:variant>
      <vt:variant>
        <vt:lpwstr>https://www1.health.gov.au/internet/fr/publishing.nsf/Content/37F08208FAC6F504CA2582A40027AA90/$File/FRSC-RPF-ECE.pdf</vt:lpwstr>
      </vt:variant>
      <vt:variant>
        <vt:lpwstr/>
      </vt:variant>
      <vt:variant>
        <vt:i4>2556030</vt:i4>
      </vt:variant>
      <vt:variant>
        <vt:i4>327</vt:i4>
      </vt:variant>
      <vt:variant>
        <vt:i4>0</vt:i4>
      </vt:variant>
      <vt:variant>
        <vt:i4>5</vt:i4>
      </vt:variant>
      <vt:variant>
        <vt:lpwstr>https://webarchive.nla.gov.au/awa/20151020103533/http:/www.health.gov.au/internet/main/publishing.nsf/Content/foodsecretariat-isc-model.htm</vt:lpwstr>
      </vt:variant>
      <vt:variant>
        <vt:lpwstr/>
      </vt:variant>
      <vt:variant>
        <vt:i4>1310784</vt:i4>
      </vt:variant>
      <vt:variant>
        <vt:i4>324</vt:i4>
      </vt:variant>
      <vt:variant>
        <vt:i4>0</vt:i4>
      </vt:variant>
      <vt:variant>
        <vt:i4>5</vt:i4>
      </vt:variant>
      <vt:variant>
        <vt:lpwstr>https://foodregulation.gov.au/internet/fr/publishing.nsf/Content/ISFR</vt:lpwstr>
      </vt:variant>
      <vt:variant>
        <vt:lpwstr/>
      </vt:variant>
      <vt:variant>
        <vt:i4>1441895</vt:i4>
      </vt:variant>
      <vt:variant>
        <vt:i4>321</vt:i4>
      </vt:variant>
      <vt:variant>
        <vt:i4>0</vt:i4>
      </vt:variant>
      <vt:variant>
        <vt:i4>5</vt:i4>
      </vt:variant>
      <vt:variant>
        <vt:lpwstr/>
      </vt:variant>
      <vt:variant>
        <vt:lpwstr>_Appendix_1_–</vt:lpwstr>
      </vt:variant>
      <vt:variant>
        <vt:i4>3735645</vt:i4>
      </vt:variant>
      <vt:variant>
        <vt:i4>318</vt:i4>
      </vt:variant>
      <vt:variant>
        <vt:i4>0</vt:i4>
      </vt:variant>
      <vt:variant>
        <vt:i4>5</vt:i4>
      </vt:variant>
      <vt:variant>
        <vt:lpwstr>https://www.foodstandards.gov.au/code/proposals/Documents/CFS SD2_Micro risk profile.pdf</vt:lpwstr>
      </vt:variant>
      <vt:variant>
        <vt:lpwstr/>
      </vt:variant>
      <vt:variant>
        <vt:i4>3735645</vt:i4>
      </vt:variant>
      <vt:variant>
        <vt:i4>315</vt:i4>
      </vt:variant>
      <vt:variant>
        <vt:i4>0</vt:i4>
      </vt:variant>
      <vt:variant>
        <vt:i4>5</vt:i4>
      </vt:variant>
      <vt:variant>
        <vt:lpwstr>https://www.foodstandards.gov.au/code/proposals/Documents/CFS SD2_Micro risk profile.pdf</vt:lpwstr>
      </vt:variant>
      <vt:variant>
        <vt:lpwstr/>
      </vt:variant>
      <vt:variant>
        <vt:i4>7667792</vt:i4>
      </vt:variant>
      <vt:variant>
        <vt:i4>312</vt:i4>
      </vt:variant>
      <vt:variant>
        <vt:i4>0</vt:i4>
      </vt:variant>
      <vt:variant>
        <vt:i4>5</vt:i4>
      </vt:variant>
      <vt:variant>
        <vt:lpwstr/>
      </vt:variant>
      <vt:variant>
        <vt:lpwstr>_Attachment_C_–</vt:lpwstr>
      </vt:variant>
      <vt:variant>
        <vt:i4>7667792</vt:i4>
      </vt:variant>
      <vt:variant>
        <vt:i4>306</vt:i4>
      </vt:variant>
      <vt:variant>
        <vt:i4>0</vt:i4>
      </vt:variant>
      <vt:variant>
        <vt:i4>5</vt:i4>
      </vt:variant>
      <vt:variant>
        <vt:lpwstr/>
      </vt:variant>
      <vt:variant>
        <vt:lpwstr>_Attachment_C_–</vt:lpwstr>
      </vt:variant>
      <vt:variant>
        <vt:i4>2621526</vt:i4>
      </vt:variant>
      <vt:variant>
        <vt:i4>303</vt:i4>
      </vt:variant>
      <vt:variant>
        <vt:i4>0</vt:i4>
      </vt:variant>
      <vt:variant>
        <vt:i4>5</vt:i4>
      </vt:variant>
      <vt:variant>
        <vt:lpwstr>https://www.foodstandards.gov.au/code/proposals/Documents/CFS SD2_Micro risk profile.docx</vt:lpwstr>
      </vt:variant>
      <vt:variant>
        <vt:lpwstr/>
      </vt:variant>
      <vt:variant>
        <vt:i4>2621526</vt:i4>
      </vt:variant>
      <vt:variant>
        <vt:i4>300</vt:i4>
      </vt:variant>
      <vt:variant>
        <vt:i4>0</vt:i4>
      </vt:variant>
      <vt:variant>
        <vt:i4>5</vt:i4>
      </vt:variant>
      <vt:variant>
        <vt:lpwstr>https://www.foodstandards.gov.au/code/proposals/Documents/CFS SD2_Micro risk profile.docx</vt:lpwstr>
      </vt:variant>
      <vt:variant>
        <vt:lpwstr/>
      </vt:variant>
      <vt:variant>
        <vt:i4>2621526</vt:i4>
      </vt:variant>
      <vt:variant>
        <vt:i4>297</vt:i4>
      </vt:variant>
      <vt:variant>
        <vt:i4>0</vt:i4>
      </vt:variant>
      <vt:variant>
        <vt:i4>5</vt:i4>
      </vt:variant>
      <vt:variant>
        <vt:lpwstr>https://www.foodstandards.gov.au/code/proposals/Documents/CFS SD2_Micro risk profile.docx</vt:lpwstr>
      </vt:variant>
      <vt:variant>
        <vt:lpwstr/>
      </vt:variant>
      <vt:variant>
        <vt:i4>7667792</vt:i4>
      </vt:variant>
      <vt:variant>
        <vt:i4>294</vt:i4>
      </vt:variant>
      <vt:variant>
        <vt:i4>0</vt:i4>
      </vt:variant>
      <vt:variant>
        <vt:i4>5</vt:i4>
      </vt:variant>
      <vt:variant>
        <vt:lpwstr/>
      </vt:variant>
      <vt:variant>
        <vt:lpwstr>_Attachment_C_–</vt:lpwstr>
      </vt:variant>
      <vt:variant>
        <vt:i4>7667792</vt:i4>
      </vt:variant>
      <vt:variant>
        <vt:i4>291</vt:i4>
      </vt:variant>
      <vt:variant>
        <vt:i4>0</vt:i4>
      </vt:variant>
      <vt:variant>
        <vt:i4>5</vt:i4>
      </vt:variant>
      <vt:variant>
        <vt:lpwstr/>
      </vt:variant>
      <vt:variant>
        <vt:lpwstr>_Attachment_C_–</vt:lpwstr>
      </vt:variant>
      <vt:variant>
        <vt:i4>7667792</vt:i4>
      </vt:variant>
      <vt:variant>
        <vt:i4>288</vt:i4>
      </vt:variant>
      <vt:variant>
        <vt:i4>0</vt:i4>
      </vt:variant>
      <vt:variant>
        <vt:i4>5</vt:i4>
      </vt:variant>
      <vt:variant>
        <vt:lpwstr/>
      </vt:variant>
      <vt:variant>
        <vt:lpwstr>_Attachment_C_–</vt:lpwstr>
      </vt:variant>
      <vt:variant>
        <vt:i4>6619160</vt:i4>
      </vt:variant>
      <vt:variant>
        <vt:i4>285</vt:i4>
      </vt:variant>
      <vt:variant>
        <vt:i4>0</vt:i4>
      </vt:variant>
      <vt:variant>
        <vt:i4>5</vt:i4>
      </vt:variant>
      <vt:variant>
        <vt:lpwstr/>
      </vt:variant>
      <vt:variant>
        <vt:lpwstr>_1.3_Current_status</vt:lpwstr>
      </vt:variant>
      <vt:variant>
        <vt:i4>3735645</vt:i4>
      </vt:variant>
      <vt:variant>
        <vt:i4>282</vt:i4>
      </vt:variant>
      <vt:variant>
        <vt:i4>0</vt:i4>
      </vt:variant>
      <vt:variant>
        <vt:i4>5</vt:i4>
      </vt:variant>
      <vt:variant>
        <vt:lpwstr>https://www.foodstandards.gov.au/code/proposals/Documents/CFS SD2_Micro risk profile.pdf</vt:lpwstr>
      </vt:variant>
      <vt:variant>
        <vt:lpwstr/>
      </vt:variant>
      <vt:variant>
        <vt:i4>4522076</vt:i4>
      </vt:variant>
      <vt:variant>
        <vt:i4>279</vt:i4>
      </vt:variant>
      <vt:variant>
        <vt:i4>0</vt:i4>
      </vt:variant>
      <vt:variant>
        <vt:i4>5</vt:i4>
      </vt:variant>
      <vt:variant>
        <vt:lpwstr>https://www1.health.gov.au/internet/fr/publishing.nsf/Content/37F08208FAC6F504CA2582A40027AA90/$File/FRSC-RPF2007.pdf</vt:lpwstr>
      </vt:variant>
      <vt:variant>
        <vt:lpwstr/>
      </vt:variant>
      <vt:variant>
        <vt:i4>3342452</vt:i4>
      </vt:variant>
      <vt:variant>
        <vt:i4>276</vt:i4>
      </vt:variant>
      <vt:variant>
        <vt:i4>0</vt:i4>
      </vt:variant>
      <vt:variant>
        <vt:i4>5</vt:i4>
      </vt:variant>
      <vt:variant>
        <vt:lpwstr>https://www1.health.gov.au/internet/main/publishing.nsf/Content/cdna-ozfoodnet.htm</vt:lpwstr>
      </vt:variant>
      <vt:variant>
        <vt:lpwstr/>
      </vt:variant>
      <vt:variant>
        <vt:i4>3735645</vt:i4>
      </vt:variant>
      <vt:variant>
        <vt:i4>273</vt:i4>
      </vt:variant>
      <vt:variant>
        <vt:i4>0</vt:i4>
      </vt:variant>
      <vt:variant>
        <vt:i4>5</vt:i4>
      </vt:variant>
      <vt:variant>
        <vt:lpwstr>https://www.foodstandards.gov.au/code/proposals/Documents/CFS SD2_Micro risk profile.pdf</vt:lpwstr>
      </vt:variant>
      <vt:variant>
        <vt:lpwstr/>
      </vt:variant>
      <vt:variant>
        <vt:i4>3932190</vt:i4>
      </vt:variant>
      <vt:variant>
        <vt:i4>270</vt:i4>
      </vt:variant>
      <vt:variant>
        <vt:i4>0</vt:i4>
      </vt:variant>
      <vt:variant>
        <vt:i4>5</vt:i4>
      </vt:variant>
      <vt:variant>
        <vt:lpwstr/>
      </vt:variant>
      <vt:variant>
        <vt:lpwstr>_5._Who_was</vt:lpwstr>
      </vt:variant>
      <vt:variant>
        <vt:i4>4063329</vt:i4>
      </vt:variant>
      <vt:variant>
        <vt:i4>267</vt:i4>
      </vt:variant>
      <vt:variant>
        <vt:i4>0</vt:i4>
      </vt:variant>
      <vt:variant>
        <vt:i4>5</vt:i4>
      </vt:variant>
      <vt:variant>
        <vt:lpwstr>https://www.bing.com/ck/a?!&amp;&amp;p=a125e583c2fec48200031e4e8edd86ac34fea95fdc49a902ced0bdfb01454fcbJmltdHM9MTY1Mjc2NTk4NyZpZ3VpZD03NzZlNThhZi0xZjA2LTRhNjQtYTM0My03NzBhMGE3MDQ0MGImaW5zaWQ9NTE5NA&amp;ptn=3&amp;fclid=c310bcba-d5a3-11ec-974e-c80037d8d8ca&amp;u=a1aHR0cHM6Ly93d3cubGVnaXNsYXRpb24uZ292LmF1L0RldGFpbHMvQzIwMTZDMDAxNDc&amp;ntb=1</vt:lpwstr>
      </vt:variant>
      <vt:variant>
        <vt:lpwstr/>
      </vt:variant>
      <vt:variant>
        <vt:i4>3735645</vt:i4>
      </vt:variant>
      <vt:variant>
        <vt:i4>264</vt:i4>
      </vt:variant>
      <vt:variant>
        <vt:i4>0</vt:i4>
      </vt:variant>
      <vt:variant>
        <vt:i4>5</vt:i4>
      </vt:variant>
      <vt:variant>
        <vt:lpwstr>https://www.foodstandards.gov.au/code/proposals/Documents/CFS SD2_Micro risk profile.pdf</vt:lpwstr>
      </vt:variant>
      <vt:variant>
        <vt:lpwstr/>
      </vt:variant>
      <vt:variant>
        <vt:i4>6160407</vt:i4>
      </vt:variant>
      <vt:variant>
        <vt:i4>261</vt:i4>
      </vt:variant>
      <vt:variant>
        <vt:i4>0</vt:i4>
      </vt:variant>
      <vt:variant>
        <vt:i4>5</vt:i4>
      </vt:variant>
      <vt:variant>
        <vt:lpwstr>https://foodregulation.gov.au/internet/fr/publishing.nsf/Content/aus-foodborne-illness-reduction-strategy-2018-2021-Jun-2018</vt:lpwstr>
      </vt:variant>
      <vt:variant>
        <vt:lpwstr/>
      </vt:variant>
      <vt:variant>
        <vt:i4>7667792</vt:i4>
      </vt:variant>
      <vt:variant>
        <vt:i4>258</vt:i4>
      </vt:variant>
      <vt:variant>
        <vt:i4>0</vt:i4>
      </vt:variant>
      <vt:variant>
        <vt:i4>5</vt:i4>
      </vt:variant>
      <vt:variant>
        <vt:lpwstr/>
      </vt:variant>
      <vt:variant>
        <vt:lpwstr>_Attachment_C_–</vt:lpwstr>
      </vt:variant>
      <vt:variant>
        <vt:i4>7471143</vt:i4>
      </vt:variant>
      <vt:variant>
        <vt:i4>255</vt:i4>
      </vt:variant>
      <vt:variant>
        <vt:i4>0</vt:i4>
      </vt:variant>
      <vt:variant>
        <vt:i4>5</vt:i4>
      </vt:variant>
      <vt:variant>
        <vt:lpwstr>https://www.foodstandards.gov.au/code/proposals/Documents/P1053 CFS report.pdf</vt:lpwstr>
      </vt:variant>
      <vt:variant>
        <vt:lpwstr/>
      </vt:variant>
      <vt:variant>
        <vt:i4>3735645</vt:i4>
      </vt:variant>
      <vt:variant>
        <vt:i4>252</vt:i4>
      </vt:variant>
      <vt:variant>
        <vt:i4>0</vt:i4>
      </vt:variant>
      <vt:variant>
        <vt:i4>5</vt:i4>
      </vt:variant>
      <vt:variant>
        <vt:lpwstr>https://www.foodstandards.gov.au/code/proposals/Documents/CFS SD2_Micro risk profile.pdf</vt:lpwstr>
      </vt:variant>
      <vt:variant>
        <vt:lpwstr/>
      </vt:variant>
      <vt:variant>
        <vt:i4>3538975</vt:i4>
      </vt:variant>
      <vt:variant>
        <vt:i4>249</vt:i4>
      </vt:variant>
      <vt:variant>
        <vt:i4>0</vt:i4>
      </vt:variant>
      <vt:variant>
        <vt:i4>5</vt:i4>
      </vt:variant>
      <vt:variant>
        <vt:lpwstr>https://www.foodstandards.gov.au/code/proposals/Documents/P1053 CFS SD1_CRIS.pdf</vt:lpwstr>
      </vt:variant>
      <vt:variant>
        <vt:lpwstr/>
      </vt:variant>
      <vt:variant>
        <vt:i4>5636111</vt:i4>
      </vt:variant>
      <vt:variant>
        <vt:i4>246</vt:i4>
      </vt:variant>
      <vt:variant>
        <vt:i4>0</vt:i4>
      </vt:variant>
      <vt:variant>
        <vt:i4>5</vt:i4>
      </vt:variant>
      <vt:variant>
        <vt:lpwstr>https://www.foodstandards.gov.au/code/proposals/Pages/P1053.aspx</vt:lpwstr>
      </vt:variant>
      <vt:variant>
        <vt:lpwstr/>
      </vt:variant>
      <vt:variant>
        <vt:i4>1245244</vt:i4>
      </vt:variant>
      <vt:variant>
        <vt:i4>239</vt:i4>
      </vt:variant>
      <vt:variant>
        <vt:i4>0</vt:i4>
      </vt:variant>
      <vt:variant>
        <vt:i4>5</vt:i4>
      </vt:variant>
      <vt:variant>
        <vt:lpwstr/>
      </vt:variant>
      <vt:variant>
        <vt:lpwstr>_Toc109300475</vt:lpwstr>
      </vt:variant>
      <vt:variant>
        <vt:i4>1245244</vt:i4>
      </vt:variant>
      <vt:variant>
        <vt:i4>233</vt:i4>
      </vt:variant>
      <vt:variant>
        <vt:i4>0</vt:i4>
      </vt:variant>
      <vt:variant>
        <vt:i4>5</vt:i4>
      </vt:variant>
      <vt:variant>
        <vt:lpwstr/>
      </vt:variant>
      <vt:variant>
        <vt:lpwstr>_Toc109300474</vt:lpwstr>
      </vt:variant>
      <vt:variant>
        <vt:i4>1245244</vt:i4>
      </vt:variant>
      <vt:variant>
        <vt:i4>227</vt:i4>
      </vt:variant>
      <vt:variant>
        <vt:i4>0</vt:i4>
      </vt:variant>
      <vt:variant>
        <vt:i4>5</vt:i4>
      </vt:variant>
      <vt:variant>
        <vt:lpwstr/>
      </vt:variant>
      <vt:variant>
        <vt:lpwstr>_Toc109300473</vt:lpwstr>
      </vt:variant>
      <vt:variant>
        <vt:i4>1179708</vt:i4>
      </vt:variant>
      <vt:variant>
        <vt:i4>221</vt:i4>
      </vt:variant>
      <vt:variant>
        <vt:i4>0</vt:i4>
      </vt:variant>
      <vt:variant>
        <vt:i4>5</vt:i4>
      </vt:variant>
      <vt:variant>
        <vt:lpwstr/>
      </vt:variant>
      <vt:variant>
        <vt:lpwstr>_Toc109300465</vt:lpwstr>
      </vt:variant>
      <vt:variant>
        <vt:i4>1507388</vt:i4>
      </vt:variant>
      <vt:variant>
        <vt:i4>215</vt:i4>
      </vt:variant>
      <vt:variant>
        <vt:i4>0</vt:i4>
      </vt:variant>
      <vt:variant>
        <vt:i4>5</vt:i4>
      </vt:variant>
      <vt:variant>
        <vt:lpwstr/>
      </vt:variant>
      <vt:variant>
        <vt:lpwstr>_Toc109300436</vt:lpwstr>
      </vt:variant>
      <vt:variant>
        <vt:i4>1507388</vt:i4>
      </vt:variant>
      <vt:variant>
        <vt:i4>209</vt:i4>
      </vt:variant>
      <vt:variant>
        <vt:i4>0</vt:i4>
      </vt:variant>
      <vt:variant>
        <vt:i4>5</vt:i4>
      </vt:variant>
      <vt:variant>
        <vt:lpwstr/>
      </vt:variant>
      <vt:variant>
        <vt:lpwstr>_Toc109300435</vt:lpwstr>
      </vt:variant>
      <vt:variant>
        <vt:i4>1507388</vt:i4>
      </vt:variant>
      <vt:variant>
        <vt:i4>203</vt:i4>
      </vt:variant>
      <vt:variant>
        <vt:i4>0</vt:i4>
      </vt:variant>
      <vt:variant>
        <vt:i4>5</vt:i4>
      </vt:variant>
      <vt:variant>
        <vt:lpwstr/>
      </vt:variant>
      <vt:variant>
        <vt:lpwstr>_Toc109300434</vt:lpwstr>
      </vt:variant>
      <vt:variant>
        <vt:i4>1507388</vt:i4>
      </vt:variant>
      <vt:variant>
        <vt:i4>197</vt:i4>
      </vt:variant>
      <vt:variant>
        <vt:i4>0</vt:i4>
      </vt:variant>
      <vt:variant>
        <vt:i4>5</vt:i4>
      </vt:variant>
      <vt:variant>
        <vt:lpwstr/>
      </vt:variant>
      <vt:variant>
        <vt:lpwstr>_Toc109300432</vt:lpwstr>
      </vt:variant>
      <vt:variant>
        <vt:i4>1507388</vt:i4>
      </vt:variant>
      <vt:variant>
        <vt:i4>191</vt:i4>
      </vt:variant>
      <vt:variant>
        <vt:i4>0</vt:i4>
      </vt:variant>
      <vt:variant>
        <vt:i4>5</vt:i4>
      </vt:variant>
      <vt:variant>
        <vt:lpwstr/>
      </vt:variant>
      <vt:variant>
        <vt:lpwstr>_Toc109300431</vt:lpwstr>
      </vt:variant>
      <vt:variant>
        <vt:i4>1507388</vt:i4>
      </vt:variant>
      <vt:variant>
        <vt:i4>185</vt:i4>
      </vt:variant>
      <vt:variant>
        <vt:i4>0</vt:i4>
      </vt:variant>
      <vt:variant>
        <vt:i4>5</vt:i4>
      </vt:variant>
      <vt:variant>
        <vt:lpwstr/>
      </vt:variant>
      <vt:variant>
        <vt:lpwstr>_Toc109300430</vt:lpwstr>
      </vt:variant>
      <vt:variant>
        <vt:i4>1441852</vt:i4>
      </vt:variant>
      <vt:variant>
        <vt:i4>179</vt:i4>
      </vt:variant>
      <vt:variant>
        <vt:i4>0</vt:i4>
      </vt:variant>
      <vt:variant>
        <vt:i4>5</vt:i4>
      </vt:variant>
      <vt:variant>
        <vt:lpwstr/>
      </vt:variant>
      <vt:variant>
        <vt:lpwstr>_Toc109300429</vt:lpwstr>
      </vt:variant>
      <vt:variant>
        <vt:i4>1441852</vt:i4>
      </vt:variant>
      <vt:variant>
        <vt:i4>173</vt:i4>
      </vt:variant>
      <vt:variant>
        <vt:i4>0</vt:i4>
      </vt:variant>
      <vt:variant>
        <vt:i4>5</vt:i4>
      </vt:variant>
      <vt:variant>
        <vt:lpwstr/>
      </vt:variant>
      <vt:variant>
        <vt:lpwstr>_Toc109300428</vt:lpwstr>
      </vt:variant>
      <vt:variant>
        <vt:i4>1441852</vt:i4>
      </vt:variant>
      <vt:variant>
        <vt:i4>167</vt:i4>
      </vt:variant>
      <vt:variant>
        <vt:i4>0</vt:i4>
      </vt:variant>
      <vt:variant>
        <vt:i4>5</vt:i4>
      </vt:variant>
      <vt:variant>
        <vt:lpwstr/>
      </vt:variant>
      <vt:variant>
        <vt:lpwstr>_Toc109300427</vt:lpwstr>
      </vt:variant>
      <vt:variant>
        <vt:i4>1441852</vt:i4>
      </vt:variant>
      <vt:variant>
        <vt:i4>161</vt:i4>
      </vt:variant>
      <vt:variant>
        <vt:i4>0</vt:i4>
      </vt:variant>
      <vt:variant>
        <vt:i4>5</vt:i4>
      </vt:variant>
      <vt:variant>
        <vt:lpwstr/>
      </vt:variant>
      <vt:variant>
        <vt:lpwstr>_Toc109300426</vt:lpwstr>
      </vt:variant>
      <vt:variant>
        <vt:i4>1441852</vt:i4>
      </vt:variant>
      <vt:variant>
        <vt:i4>155</vt:i4>
      </vt:variant>
      <vt:variant>
        <vt:i4>0</vt:i4>
      </vt:variant>
      <vt:variant>
        <vt:i4>5</vt:i4>
      </vt:variant>
      <vt:variant>
        <vt:lpwstr/>
      </vt:variant>
      <vt:variant>
        <vt:lpwstr>_Toc109300425</vt:lpwstr>
      </vt:variant>
      <vt:variant>
        <vt:i4>1441852</vt:i4>
      </vt:variant>
      <vt:variant>
        <vt:i4>149</vt:i4>
      </vt:variant>
      <vt:variant>
        <vt:i4>0</vt:i4>
      </vt:variant>
      <vt:variant>
        <vt:i4>5</vt:i4>
      </vt:variant>
      <vt:variant>
        <vt:lpwstr/>
      </vt:variant>
      <vt:variant>
        <vt:lpwstr>_Toc109300424</vt:lpwstr>
      </vt:variant>
      <vt:variant>
        <vt:i4>1441852</vt:i4>
      </vt:variant>
      <vt:variant>
        <vt:i4>143</vt:i4>
      </vt:variant>
      <vt:variant>
        <vt:i4>0</vt:i4>
      </vt:variant>
      <vt:variant>
        <vt:i4>5</vt:i4>
      </vt:variant>
      <vt:variant>
        <vt:lpwstr/>
      </vt:variant>
      <vt:variant>
        <vt:lpwstr>_Toc109300423</vt:lpwstr>
      </vt:variant>
      <vt:variant>
        <vt:i4>1441852</vt:i4>
      </vt:variant>
      <vt:variant>
        <vt:i4>137</vt:i4>
      </vt:variant>
      <vt:variant>
        <vt:i4>0</vt:i4>
      </vt:variant>
      <vt:variant>
        <vt:i4>5</vt:i4>
      </vt:variant>
      <vt:variant>
        <vt:lpwstr/>
      </vt:variant>
      <vt:variant>
        <vt:lpwstr>_Toc109300422</vt:lpwstr>
      </vt:variant>
      <vt:variant>
        <vt:i4>1441852</vt:i4>
      </vt:variant>
      <vt:variant>
        <vt:i4>131</vt:i4>
      </vt:variant>
      <vt:variant>
        <vt:i4>0</vt:i4>
      </vt:variant>
      <vt:variant>
        <vt:i4>5</vt:i4>
      </vt:variant>
      <vt:variant>
        <vt:lpwstr/>
      </vt:variant>
      <vt:variant>
        <vt:lpwstr>_Toc109300421</vt:lpwstr>
      </vt:variant>
      <vt:variant>
        <vt:i4>1441852</vt:i4>
      </vt:variant>
      <vt:variant>
        <vt:i4>125</vt:i4>
      </vt:variant>
      <vt:variant>
        <vt:i4>0</vt:i4>
      </vt:variant>
      <vt:variant>
        <vt:i4>5</vt:i4>
      </vt:variant>
      <vt:variant>
        <vt:lpwstr/>
      </vt:variant>
      <vt:variant>
        <vt:lpwstr>_Toc109300420</vt:lpwstr>
      </vt:variant>
      <vt:variant>
        <vt:i4>1376316</vt:i4>
      </vt:variant>
      <vt:variant>
        <vt:i4>119</vt:i4>
      </vt:variant>
      <vt:variant>
        <vt:i4>0</vt:i4>
      </vt:variant>
      <vt:variant>
        <vt:i4>5</vt:i4>
      </vt:variant>
      <vt:variant>
        <vt:lpwstr/>
      </vt:variant>
      <vt:variant>
        <vt:lpwstr>_Toc109300419</vt:lpwstr>
      </vt:variant>
      <vt:variant>
        <vt:i4>1376316</vt:i4>
      </vt:variant>
      <vt:variant>
        <vt:i4>113</vt:i4>
      </vt:variant>
      <vt:variant>
        <vt:i4>0</vt:i4>
      </vt:variant>
      <vt:variant>
        <vt:i4>5</vt:i4>
      </vt:variant>
      <vt:variant>
        <vt:lpwstr/>
      </vt:variant>
      <vt:variant>
        <vt:lpwstr>_Toc109300418</vt:lpwstr>
      </vt:variant>
      <vt:variant>
        <vt:i4>1376316</vt:i4>
      </vt:variant>
      <vt:variant>
        <vt:i4>107</vt:i4>
      </vt:variant>
      <vt:variant>
        <vt:i4>0</vt:i4>
      </vt:variant>
      <vt:variant>
        <vt:i4>5</vt:i4>
      </vt:variant>
      <vt:variant>
        <vt:lpwstr/>
      </vt:variant>
      <vt:variant>
        <vt:lpwstr>_Toc109300417</vt:lpwstr>
      </vt:variant>
      <vt:variant>
        <vt:i4>1376316</vt:i4>
      </vt:variant>
      <vt:variant>
        <vt:i4>101</vt:i4>
      </vt:variant>
      <vt:variant>
        <vt:i4>0</vt:i4>
      </vt:variant>
      <vt:variant>
        <vt:i4>5</vt:i4>
      </vt:variant>
      <vt:variant>
        <vt:lpwstr/>
      </vt:variant>
      <vt:variant>
        <vt:lpwstr>_Toc109300416</vt:lpwstr>
      </vt:variant>
      <vt:variant>
        <vt:i4>1376316</vt:i4>
      </vt:variant>
      <vt:variant>
        <vt:i4>95</vt:i4>
      </vt:variant>
      <vt:variant>
        <vt:i4>0</vt:i4>
      </vt:variant>
      <vt:variant>
        <vt:i4>5</vt:i4>
      </vt:variant>
      <vt:variant>
        <vt:lpwstr/>
      </vt:variant>
      <vt:variant>
        <vt:lpwstr>_Toc109300415</vt:lpwstr>
      </vt:variant>
      <vt:variant>
        <vt:i4>1376316</vt:i4>
      </vt:variant>
      <vt:variant>
        <vt:i4>89</vt:i4>
      </vt:variant>
      <vt:variant>
        <vt:i4>0</vt:i4>
      </vt:variant>
      <vt:variant>
        <vt:i4>5</vt:i4>
      </vt:variant>
      <vt:variant>
        <vt:lpwstr/>
      </vt:variant>
      <vt:variant>
        <vt:lpwstr>_Toc109300414</vt:lpwstr>
      </vt:variant>
      <vt:variant>
        <vt:i4>1376316</vt:i4>
      </vt:variant>
      <vt:variant>
        <vt:i4>83</vt:i4>
      </vt:variant>
      <vt:variant>
        <vt:i4>0</vt:i4>
      </vt:variant>
      <vt:variant>
        <vt:i4>5</vt:i4>
      </vt:variant>
      <vt:variant>
        <vt:lpwstr/>
      </vt:variant>
      <vt:variant>
        <vt:lpwstr>_Toc109300413</vt:lpwstr>
      </vt:variant>
      <vt:variant>
        <vt:i4>1376316</vt:i4>
      </vt:variant>
      <vt:variant>
        <vt:i4>77</vt:i4>
      </vt:variant>
      <vt:variant>
        <vt:i4>0</vt:i4>
      </vt:variant>
      <vt:variant>
        <vt:i4>5</vt:i4>
      </vt:variant>
      <vt:variant>
        <vt:lpwstr/>
      </vt:variant>
      <vt:variant>
        <vt:lpwstr>_Toc109300412</vt:lpwstr>
      </vt:variant>
      <vt:variant>
        <vt:i4>1376316</vt:i4>
      </vt:variant>
      <vt:variant>
        <vt:i4>71</vt:i4>
      </vt:variant>
      <vt:variant>
        <vt:i4>0</vt:i4>
      </vt:variant>
      <vt:variant>
        <vt:i4>5</vt:i4>
      </vt:variant>
      <vt:variant>
        <vt:lpwstr/>
      </vt:variant>
      <vt:variant>
        <vt:lpwstr>_Toc109300411</vt:lpwstr>
      </vt:variant>
      <vt:variant>
        <vt:i4>1376316</vt:i4>
      </vt:variant>
      <vt:variant>
        <vt:i4>65</vt:i4>
      </vt:variant>
      <vt:variant>
        <vt:i4>0</vt:i4>
      </vt:variant>
      <vt:variant>
        <vt:i4>5</vt:i4>
      </vt:variant>
      <vt:variant>
        <vt:lpwstr/>
      </vt:variant>
      <vt:variant>
        <vt:lpwstr>_Toc109300410</vt:lpwstr>
      </vt:variant>
      <vt:variant>
        <vt:i4>1310780</vt:i4>
      </vt:variant>
      <vt:variant>
        <vt:i4>59</vt:i4>
      </vt:variant>
      <vt:variant>
        <vt:i4>0</vt:i4>
      </vt:variant>
      <vt:variant>
        <vt:i4>5</vt:i4>
      </vt:variant>
      <vt:variant>
        <vt:lpwstr/>
      </vt:variant>
      <vt:variant>
        <vt:lpwstr>_Toc109300409</vt:lpwstr>
      </vt:variant>
      <vt:variant>
        <vt:i4>1310780</vt:i4>
      </vt:variant>
      <vt:variant>
        <vt:i4>53</vt:i4>
      </vt:variant>
      <vt:variant>
        <vt:i4>0</vt:i4>
      </vt:variant>
      <vt:variant>
        <vt:i4>5</vt:i4>
      </vt:variant>
      <vt:variant>
        <vt:lpwstr/>
      </vt:variant>
      <vt:variant>
        <vt:lpwstr>_Toc109300408</vt:lpwstr>
      </vt:variant>
      <vt:variant>
        <vt:i4>1310780</vt:i4>
      </vt:variant>
      <vt:variant>
        <vt:i4>47</vt:i4>
      </vt:variant>
      <vt:variant>
        <vt:i4>0</vt:i4>
      </vt:variant>
      <vt:variant>
        <vt:i4>5</vt:i4>
      </vt:variant>
      <vt:variant>
        <vt:lpwstr/>
      </vt:variant>
      <vt:variant>
        <vt:lpwstr>_Toc109300407</vt:lpwstr>
      </vt:variant>
      <vt:variant>
        <vt:i4>1310780</vt:i4>
      </vt:variant>
      <vt:variant>
        <vt:i4>41</vt:i4>
      </vt:variant>
      <vt:variant>
        <vt:i4>0</vt:i4>
      </vt:variant>
      <vt:variant>
        <vt:i4>5</vt:i4>
      </vt:variant>
      <vt:variant>
        <vt:lpwstr/>
      </vt:variant>
      <vt:variant>
        <vt:lpwstr>_Toc109300406</vt:lpwstr>
      </vt:variant>
      <vt:variant>
        <vt:i4>1310780</vt:i4>
      </vt:variant>
      <vt:variant>
        <vt:i4>35</vt:i4>
      </vt:variant>
      <vt:variant>
        <vt:i4>0</vt:i4>
      </vt:variant>
      <vt:variant>
        <vt:i4>5</vt:i4>
      </vt:variant>
      <vt:variant>
        <vt:lpwstr/>
      </vt:variant>
      <vt:variant>
        <vt:lpwstr>_Toc109300405</vt:lpwstr>
      </vt:variant>
      <vt:variant>
        <vt:i4>1310780</vt:i4>
      </vt:variant>
      <vt:variant>
        <vt:i4>29</vt:i4>
      </vt:variant>
      <vt:variant>
        <vt:i4>0</vt:i4>
      </vt:variant>
      <vt:variant>
        <vt:i4>5</vt:i4>
      </vt:variant>
      <vt:variant>
        <vt:lpwstr/>
      </vt:variant>
      <vt:variant>
        <vt:lpwstr>_Toc109300404</vt:lpwstr>
      </vt:variant>
      <vt:variant>
        <vt:i4>1310780</vt:i4>
      </vt:variant>
      <vt:variant>
        <vt:i4>23</vt:i4>
      </vt:variant>
      <vt:variant>
        <vt:i4>0</vt:i4>
      </vt:variant>
      <vt:variant>
        <vt:i4>5</vt:i4>
      </vt:variant>
      <vt:variant>
        <vt:lpwstr/>
      </vt:variant>
      <vt:variant>
        <vt:lpwstr>_Toc109300403</vt:lpwstr>
      </vt:variant>
      <vt:variant>
        <vt:i4>1310780</vt:i4>
      </vt:variant>
      <vt:variant>
        <vt:i4>17</vt:i4>
      </vt:variant>
      <vt:variant>
        <vt:i4>0</vt:i4>
      </vt:variant>
      <vt:variant>
        <vt:i4>5</vt:i4>
      </vt:variant>
      <vt:variant>
        <vt:lpwstr/>
      </vt:variant>
      <vt:variant>
        <vt:lpwstr>_Toc109300402</vt:lpwstr>
      </vt:variant>
      <vt:variant>
        <vt:i4>1310780</vt:i4>
      </vt:variant>
      <vt:variant>
        <vt:i4>11</vt:i4>
      </vt:variant>
      <vt:variant>
        <vt:i4>0</vt:i4>
      </vt:variant>
      <vt:variant>
        <vt:i4>5</vt:i4>
      </vt:variant>
      <vt:variant>
        <vt:lpwstr/>
      </vt:variant>
      <vt:variant>
        <vt:lpwstr>_Toc109300401</vt:lpwstr>
      </vt:variant>
      <vt:variant>
        <vt:i4>1310780</vt:i4>
      </vt:variant>
      <vt:variant>
        <vt:i4>5</vt:i4>
      </vt:variant>
      <vt:variant>
        <vt:i4>0</vt:i4>
      </vt:variant>
      <vt:variant>
        <vt:i4>5</vt:i4>
      </vt:variant>
      <vt:variant>
        <vt:lpwstr/>
      </vt:variant>
      <vt:variant>
        <vt:lpwstr>_Toc109300400</vt:lpwstr>
      </vt:variant>
      <vt:variant>
        <vt:i4>5636111</vt:i4>
      </vt:variant>
      <vt:variant>
        <vt:i4>0</vt:i4>
      </vt:variant>
      <vt:variant>
        <vt:i4>0</vt:i4>
      </vt:variant>
      <vt:variant>
        <vt:i4>5</vt:i4>
      </vt:variant>
      <vt:variant>
        <vt:lpwstr>https://www.foodstandards.gov.au/code/proposals/Pages/P1053.aspx</vt:lpwstr>
      </vt:variant>
      <vt:variant>
        <vt:lpwstr/>
      </vt:variant>
      <vt:variant>
        <vt:i4>8323113</vt:i4>
      </vt:variant>
      <vt:variant>
        <vt:i4>45</vt:i4>
      </vt:variant>
      <vt:variant>
        <vt:i4>0</vt:i4>
      </vt:variant>
      <vt:variant>
        <vt:i4>5</vt:i4>
      </vt:variant>
      <vt:variant>
        <vt:lpwstr>https://www.dairysafe.vic.gov.au/licensees/dairy-regtech/foodsafetyculture</vt:lpwstr>
      </vt:variant>
      <vt:variant>
        <vt:lpwstr/>
      </vt:variant>
      <vt:variant>
        <vt:i4>983060</vt:i4>
      </vt:variant>
      <vt:variant>
        <vt:i4>42</vt:i4>
      </vt:variant>
      <vt:variant>
        <vt:i4>0</vt:i4>
      </vt:variant>
      <vt:variant>
        <vt:i4>5</vt:i4>
      </vt:variant>
      <vt:variant>
        <vt:lpwstr>https://webarchive.nla.gov.au/awa/20151020103533/http://www.health.gov.au/internet/main/publishing.nsf/Content/foodsecretariat-isc-model.htm</vt:lpwstr>
      </vt:variant>
      <vt:variant>
        <vt:lpwstr/>
      </vt:variant>
      <vt:variant>
        <vt:i4>7929880</vt:i4>
      </vt:variant>
      <vt:variant>
        <vt:i4>39</vt:i4>
      </vt:variant>
      <vt:variant>
        <vt:i4>0</vt:i4>
      </vt:variant>
      <vt:variant>
        <vt:i4>5</vt:i4>
      </vt:variant>
      <vt:variant>
        <vt:lpwstr>https://www.foodstandards.gov.au/code/proposals/Documents/CFS SD3_draft implementation information for businesses.pdf</vt:lpwstr>
      </vt:variant>
      <vt:variant>
        <vt:lpwstr/>
      </vt:variant>
      <vt:variant>
        <vt:i4>2621503</vt:i4>
      </vt:variant>
      <vt:variant>
        <vt:i4>36</vt:i4>
      </vt:variant>
      <vt:variant>
        <vt:i4>0</vt:i4>
      </vt:variant>
      <vt:variant>
        <vt:i4>5</vt:i4>
      </vt:variant>
      <vt:variant>
        <vt:lpwstr>https://www.health.act.gov.au/businesses/food-safety-regulation/starting-food-business</vt:lpwstr>
      </vt:variant>
      <vt:variant>
        <vt:lpwstr/>
      </vt:variant>
      <vt:variant>
        <vt:i4>1769558</vt:i4>
      </vt:variant>
      <vt:variant>
        <vt:i4>33</vt:i4>
      </vt:variant>
      <vt:variant>
        <vt:i4>0</vt:i4>
      </vt:variant>
      <vt:variant>
        <vt:i4>5</vt:i4>
      </vt:variant>
      <vt:variant>
        <vt:lpwstr>https://www1.health.gov.au/internet/main/Publishing.nsf/Content/cda-surveil-nndss-nndssintro.htm</vt:lpwstr>
      </vt:variant>
      <vt:variant>
        <vt:lpwstr/>
      </vt:variant>
      <vt:variant>
        <vt:i4>3145777</vt:i4>
      </vt:variant>
      <vt:variant>
        <vt:i4>30</vt:i4>
      </vt:variant>
      <vt:variant>
        <vt:i4>0</vt:i4>
      </vt:variant>
      <vt:variant>
        <vt:i4>5</vt:i4>
      </vt:variant>
      <vt:variant>
        <vt:lpwstr>C:\Users\kolstl\AppData\Local\Microsoft\Windows\Forms\AllItems.aspx</vt:lpwstr>
      </vt:variant>
      <vt:variant>
        <vt:lpwstr/>
      </vt:variant>
      <vt:variant>
        <vt:i4>6160407</vt:i4>
      </vt:variant>
      <vt:variant>
        <vt:i4>27</vt:i4>
      </vt:variant>
      <vt:variant>
        <vt:i4>0</vt:i4>
      </vt:variant>
      <vt:variant>
        <vt:i4>5</vt:i4>
      </vt:variant>
      <vt:variant>
        <vt:lpwstr>https://foodregulation.gov.au/internet/fr/publishing.nsf/Content/aus-foodborne-illness-reduction-strategy-2018-2021-Jun-2018</vt:lpwstr>
      </vt:variant>
      <vt:variant>
        <vt:lpwstr/>
      </vt:variant>
      <vt:variant>
        <vt:i4>4390981</vt:i4>
      </vt:variant>
      <vt:variant>
        <vt:i4>24</vt:i4>
      </vt:variant>
      <vt:variant>
        <vt:i4>0</vt:i4>
      </vt:variant>
      <vt:variant>
        <vt:i4>5</vt:i4>
      </vt:variant>
      <vt:variant>
        <vt:lpwstr>https://ww2.health.wa.gov.au/~/media/Files/Corporate/general documents/food/PDF/WA_Food_Regulation_Food_Business_Risk_Profiling.pdf</vt:lpwstr>
      </vt:variant>
      <vt:variant>
        <vt:lpwstr/>
      </vt:variant>
      <vt:variant>
        <vt:i4>7667832</vt:i4>
      </vt:variant>
      <vt:variant>
        <vt:i4>21</vt:i4>
      </vt:variant>
      <vt:variant>
        <vt:i4>0</vt:i4>
      </vt:variant>
      <vt:variant>
        <vt:i4>5</vt:i4>
      </vt:variant>
      <vt:variant>
        <vt:lpwstr>https://www.health.vic.gov.au/food-safety/food-business-classification</vt:lpwstr>
      </vt:variant>
      <vt:variant>
        <vt:lpwstr/>
      </vt:variant>
      <vt:variant>
        <vt:i4>3014758</vt:i4>
      </vt:variant>
      <vt:variant>
        <vt:i4>18</vt:i4>
      </vt:variant>
      <vt:variant>
        <vt:i4>0</vt:i4>
      </vt:variant>
      <vt:variant>
        <vt:i4>5</vt:i4>
      </vt:variant>
      <vt:variant>
        <vt:lpwstr>https://www.qld.gov.au/health/staying-healthy/food-pantry/starting-a-food-business/food-business-licences/do-i-need-a-food-business-licence</vt:lpwstr>
      </vt:variant>
      <vt:variant>
        <vt:lpwstr/>
      </vt:variant>
      <vt:variant>
        <vt:i4>1245288</vt:i4>
      </vt:variant>
      <vt:variant>
        <vt:i4>15</vt:i4>
      </vt:variant>
      <vt:variant>
        <vt:i4>0</vt:i4>
      </vt:variant>
      <vt:variant>
        <vt:i4>5</vt:i4>
      </vt:variant>
      <vt:variant>
        <vt:lpwstr>https://www.foodstandards.gov.au/publications/documents/ANZFA_1578_Info_Paper__final.pdf</vt:lpwstr>
      </vt:variant>
      <vt:variant>
        <vt:lpwstr>:~:text=number%20of%20infrastructure%20initiatives%20intended%20to%20guide%20the,the%20food%20safety%20risks%20associated%20with%20the%20business.</vt:lpwstr>
      </vt:variant>
      <vt:variant>
        <vt:i4>1441860</vt:i4>
      </vt:variant>
      <vt:variant>
        <vt:i4>12</vt:i4>
      </vt:variant>
      <vt:variant>
        <vt:i4>0</vt:i4>
      </vt:variant>
      <vt:variant>
        <vt:i4>5</vt:i4>
      </vt:variant>
      <vt:variant>
        <vt:lpwstr>https://foodregulation.gov.au/internet/fr/publishing.nsf/Content/risk-profiling-framework</vt:lpwstr>
      </vt:variant>
      <vt:variant>
        <vt:lpwstr/>
      </vt:variant>
      <vt:variant>
        <vt:i4>2949173</vt:i4>
      </vt:variant>
      <vt:variant>
        <vt:i4>9</vt:i4>
      </vt:variant>
      <vt:variant>
        <vt:i4>0</vt:i4>
      </vt:variant>
      <vt:variant>
        <vt:i4>5</vt:i4>
      </vt:variant>
      <vt:variant>
        <vt:lpwstr>https://obpr.pmc.gov.au/resources/guidance-impact-analysis/regulatory-impact-analysis-guide-ministers-meetings-and-national</vt:lpwstr>
      </vt:variant>
      <vt:variant>
        <vt:lpwstr/>
      </vt:variant>
      <vt:variant>
        <vt:i4>3539049</vt:i4>
      </vt:variant>
      <vt:variant>
        <vt:i4>6</vt:i4>
      </vt:variant>
      <vt:variant>
        <vt:i4>0</vt:i4>
      </vt:variant>
      <vt:variant>
        <vt:i4>5</vt:i4>
      </vt:variant>
      <vt:variant>
        <vt:lpwstr>https://foodregulation.gov.au/internet/fr/publishing.nsf/Content/publication-stategic-statement</vt:lpwstr>
      </vt:variant>
      <vt:variant>
        <vt:lpwstr/>
      </vt:variant>
      <vt:variant>
        <vt:i4>458761</vt:i4>
      </vt:variant>
      <vt:variant>
        <vt:i4>3</vt:i4>
      </vt:variant>
      <vt:variant>
        <vt:i4>0</vt:i4>
      </vt:variant>
      <vt:variant>
        <vt:i4>5</vt:i4>
      </vt:variant>
      <vt:variant>
        <vt:lpwstr>https://www.foodstandards.gov.au/foodsafety/standards/Pages/Review-of-Standard-4.2.5-%E2%80%93-Primary-production-and-processing-standard-for-eggs-and-egg-products.aspx</vt:lpwstr>
      </vt:variant>
      <vt:variant>
        <vt:lpwstr/>
      </vt:variant>
      <vt:variant>
        <vt:i4>3932208</vt:i4>
      </vt:variant>
      <vt:variant>
        <vt:i4>0</vt:i4>
      </vt:variant>
      <vt:variant>
        <vt:i4>0</vt:i4>
      </vt:variant>
      <vt:variant>
        <vt:i4>5</vt:i4>
      </vt:variant>
      <vt:variant>
        <vt:lpwstr>https://www.foodstandards.gov.au/foodsafety/standards/review/Pages/default.aspx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P1053 Approval Report (Repaired) 24 May</dc:title>
  <dc:subject/>
  <dc:creator>ronals</dc:creator>
  <cp:keywords/>
  <dc:description/>
  <cp:lastModifiedBy>Lauren Kolstad</cp:lastModifiedBy>
  <cp:revision>2</cp:revision>
  <cp:lastPrinted>2011-11-15T17:43:00Z</cp:lastPrinted>
  <dcterms:created xsi:type="dcterms:W3CDTF">2022-09-27T00:11:00Z</dcterms:created>
  <dcterms:modified xsi:type="dcterms:W3CDTF">2022-09-27T00:11:00Z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bf4aaca7-bc3b-4e52-be3f-3c93760885a9</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0x010100FB86A4CA77FAD24FB4C8632D8CBF0C4A</vt:lpwstr>
  </property>
  <property fmtid="{D5CDD505-2E9C-101B-9397-08002B2CF9AE}" pid="15" name="DisposalClass">
    <vt:lpwstr/>
  </property>
  <property fmtid="{D5CDD505-2E9C-101B-9397-08002B2CF9AE}" pid="16" name="BCS_">
    <vt:lpwstr>7;#Evaluation|43bd8487-b9f6-4055-946c-a118d364275d</vt:lpwstr>
  </property>
  <property fmtid="{D5CDD505-2E9C-101B-9397-08002B2CF9AE}" pid="17" name="_dlc_DocIdItemGuid">
    <vt:lpwstr>134c0aed-388d-45bb-bbd9-c901ad76a7a1</vt:lpwstr>
  </property>
  <property fmtid="{D5CDD505-2E9C-101B-9397-08002B2CF9AE}" pid="18" name="bjClsUserRVM">
    <vt:lpwstr>[]</vt:lpwstr>
  </property>
  <property fmtid="{D5CDD505-2E9C-101B-9397-08002B2CF9AE}" pid="19" name="BCS">
    <vt:lpwstr>2;#Evaluation|43cb9915-dbd2-4e45-b39d-7bc5c58c72da</vt:lpwstr>
  </property>
  <property fmtid="{D5CDD505-2E9C-101B-9397-08002B2CF9AE}" pid="20" name="Access">
    <vt:lpwstr/>
  </property>
  <property fmtid="{D5CDD505-2E9C-101B-9397-08002B2CF9AE}" pid="21" name="Classification">
    <vt:lpwstr>1;#OFFICIAL|3776503d-ed4e-4d70-8dfd-8e17b238523b</vt:lpwstr>
  </property>
  <property fmtid="{D5CDD505-2E9C-101B-9397-08002B2CF9AE}" pid="22" name="pd3a3559ef84480a8025c4c7bb6e6dee">
    <vt:lpwstr/>
  </property>
  <property fmtid="{D5CDD505-2E9C-101B-9397-08002B2CF9AE}" pid="23" name="h46016694f704d158a57d0b5238c000e">
    <vt:lpwstr/>
  </property>
  <property fmtid="{D5CDD505-2E9C-101B-9397-08002B2CF9AE}" pid="24" name="Data_x0020_Privacy">
    <vt:lpwstr/>
  </property>
  <property fmtid="{D5CDD505-2E9C-101B-9397-08002B2CF9AE}" pid="25" name="Data_x0020_Category">
    <vt:lpwstr/>
  </property>
  <property fmtid="{D5CDD505-2E9C-101B-9397-08002B2CF9AE}" pid="26" name="Data_x0020_Accessibility">
    <vt:lpwstr/>
  </property>
  <property fmtid="{D5CDD505-2E9C-101B-9397-08002B2CF9AE}" pid="27" name="o2e94e0b7bb742308b3aec7384781dc0">
    <vt:lpwstr/>
  </property>
  <property fmtid="{D5CDD505-2E9C-101B-9397-08002B2CF9AE}" pid="28" name="Data Privacy">
    <vt:lpwstr/>
  </property>
  <property fmtid="{D5CDD505-2E9C-101B-9397-08002B2CF9AE}" pid="29" name="Data Category">
    <vt:lpwstr/>
  </property>
  <property fmtid="{D5CDD505-2E9C-101B-9397-08002B2CF9AE}" pid="30" name="Data Accessibility">
    <vt:lpwstr/>
  </property>
</Properties>
</file>